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 xml:space="preserve">  </w:t>
      </w: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山东</w:t>
      </w:r>
      <w:r>
        <w:rPr>
          <w:rFonts w:hint="eastAsia" w:ascii="方正小标宋简体" w:hAnsi="Times New Roman" w:eastAsia="方正小标宋简体" w:cs="Times New Roman"/>
          <w:sz w:val="44"/>
          <w:szCs w:val="44"/>
          <w:lang w:eastAsia="zh-CN"/>
        </w:rPr>
        <w:t>岱岳制盐</w:t>
      </w:r>
      <w:r>
        <w:rPr>
          <w:rFonts w:hint="eastAsia" w:ascii="方正小标宋简体" w:hAnsi="Times New Roman" w:eastAsia="方正小标宋简体" w:cs="Times New Roman"/>
          <w:sz w:val="44"/>
          <w:szCs w:val="44"/>
        </w:rPr>
        <w:t>有限公司</w:t>
      </w:r>
    </w:p>
    <w:p>
      <w:pPr>
        <w:spacing w:line="0" w:lineRule="atLeast"/>
        <w:jc w:val="center"/>
        <w:rPr>
          <w:rFonts w:hint="eastAsia" w:ascii="方正小标宋简体" w:hAnsi="宋体" w:eastAsia="方正小标宋简体"/>
          <w:sz w:val="44"/>
          <w:szCs w:val="44"/>
          <w:lang w:eastAsia="zh-CN"/>
        </w:rPr>
      </w:pPr>
      <w:r>
        <w:rPr>
          <w:rFonts w:hint="eastAsia" w:ascii="方正小标宋简体" w:hAnsi="宋体" w:eastAsia="方正小标宋简体"/>
          <w:sz w:val="44"/>
          <w:szCs w:val="44"/>
          <w:lang w:eastAsia="zh-CN"/>
        </w:rPr>
        <w:t>分布式光伏发电建设项目</w:t>
      </w:r>
    </w:p>
    <w:p>
      <w:pPr>
        <w:spacing w:line="0" w:lineRule="atLeast"/>
        <w:jc w:val="center"/>
        <w:rPr>
          <w:rFonts w:ascii="方正小标宋简体" w:hAnsi="宋体" w:eastAsia="方正小标宋简体"/>
          <w:sz w:val="44"/>
          <w:szCs w:val="44"/>
        </w:rPr>
      </w:pPr>
    </w:p>
    <w:p>
      <w:pPr>
        <w:spacing w:line="0" w:lineRule="atLeast"/>
        <w:jc w:val="center"/>
        <w:rPr>
          <w:rFonts w:ascii="方正小标宋简体" w:hAnsi="宋体" w:eastAsia="方正小标宋简体"/>
          <w:sz w:val="44"/>
          <w:szCs w:val="44"/>
        </w:rPr>
      </w:pPr>
    </w:p>
    <w:p>
      <w:pPr>
        <w:spacing w:line="0" w:lineRule="atLeast"/>
        <w:jc w:val="center"/>
        <w:rPr>
          <w:rFonts w:ascii="方正小标宋简体" w:hAnsi="宋体" w:eastAsia="方正小标宋简体"/>
          <w:sz w:val="72"/>
          <w:szCs w:val="72"/>
        </w:rPr>
      </w:pPr>
      <w:r>
        <w:rPr>
          <w:rFonts w:hint="eastAsia" w:ascii="方正小标宋简体" w:hAnsi="黑体" w:eastAsia="方正小标宋简体" w:cs="Times New Roman"/>
          <w:sz w:val="72"/>
          <w:szCs w:val="72"/>
          <w:lang w:eastAsia="zh-CN"/>
        </w:rPr>
        <w:t>招标</w:t>
      </w:r>
      <w:r>
        <w:rPr>
          <w:rFonts w:hint="eastAsia" w:ascii="方正小标宋简体" w:hAnsi="黑体" w:eastAsia="方正小标宋简体" w:cs="Times New Roman"/>
          <w:sz w:val="72"/>
          <w:szCs w:val="72"/>
        </w:rPr>
        <w:t>文件</w:t>
      </w:r>
    </w:p>
    <w:p>
      <w:pPr>
        <w:jc w:val="center"/>
        <w:rPr>
          <w:rFonts w:ascii="楷体_GB2312" w:hAnsi="Times New Roman" w:eastAsia="楷体_GB2312" w:cs="Times New Roman"/>
          <w:sz w:val="32"/>
          <w:szCs w:val="32"/>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黑体" w:hAnsi="黑体" w:eastAsia="黑体" w:cs="Times New Roman"/>
          <w:sz w:val="32"/>
          <w:szCs w:val="24"/>
        </w:rPr>
      </w:pPr>
    </w:p>
    <w:p>
      <w:pPr>
        <w:spacing w:line="400" w:lineRule="exact"/>
        <w:jc w:val="center"/>
        <w:rPr>
          <w:rFonts w:hint="default" w:ascii="黑体" w:hAnsi="黑体" w:eastAsia="黑体" w:cs="Times New Roman"/>
          <w:sz w:val="32"/>
          <w:szCs w:val="24"/>
          <w:lang w:val="en-US" w:eastAsia="zh-CN"/>
        </w:rPr>
      </w:pPr>
      <w:r>
        <w:rPr>
          <w:rFonts w:hint="eastAsia" w:ascii="黑体" w:hAnsi="黑体" w:eastAsia="黑体" w:cs="Times New Roman"/>
          <w:sz w:val="32"/>
          <w:szCs w:val="24"/>
        </w:rPr>
        <w:t>项目编号：</w:t>
      </w:r>
      <w:r>
        <w:rPr>
          <w:rFonts w:hint="eastAsia" w:ascii="黑体" w:hAnsi="黑体" w:eastAsia="黑体" w:cs="Times New Roman"/>
          <w:sz w:val="32"/>
          <w:szCs w:val="24"/>
          <w:lang w:val="en-US" w:eastAsia="zh-CN"/>
        </w:rPr>
        <w:t>SCB</w:t>
      </w: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3055</w:t>
      </w: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pStyle w:val="3"/>
        <w:rPr>
          <w:rFonts w:ascii="黑体" w:hAnsi="黑体" w:eastAsia="黑体" w:cs="Times New Roman"/>
          <w:sz w:val="32"/>
          <w:szCs w:val="24"/>
        </w:rPr>
      </w:pPr>
    </w:p>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jc w:val="center"/>
        <w:rPr>
          <w:rFonts w:ascii="黑体" w:hAnsi="黑体" w:eastAsia="黑体" w:cs="Times New Roman"/>
          <w:sz w:val="32"/>
          <w:szCs w:val="24"/>
        </w:rPr>
      </w:pPr>
      <w:r>
        <w:rPr>
          <w:rFonts w:hint="eastAsia" w:ascii="黑体" w:hAnsi="黑体" w:eastAsia="黑体" w:cs="Times New Roman"/>
          <w:sz w:val="32"/>
          <w:szCs w:val="24"/>
        </w:rPr>
        <w:t>山东</w:t>
      </w:r>
      <w:r>
        <w:rPr>
          <w:rFonts w:hint="eastAsia" w:ascii="黑体" w:hAnsi="黑体" w:eastAsia="黑体" w:cs="Times New Roman"/>
          <w:sz w:val="32"/>
          <w:szCs w:val="24"/>
          <w:lang w:eastAsia="zh-CN"/>
        </w:rPr>
        <w:t>岱岳制盐</w:t>
      </w:r>
      <w:r>
        <w:rPr>
          <w:rFonts w:hint="eastAsia" w:ascii="黑体" w:hAnsi="黑体" w:eastAsia="黑体" w:cs="Times New Roman"/>
          <w:sz w:val="32"/>
          <w:szCs w:val="24"/>
        </w:rPr>
        <w:t>有限公司</w:t>
      </w:r>
    </w:p>
    <w:p>
      <w:pPr>
        <w:jc w:val="center"/>
        <w:rPr>
          <w:rFonts w:hint="eastAsia" w:ascii="方正小标宋简体" w:hAnsi="宋体" w:eastAsia="方正小标宋简体" w:cs="Times New Roman"/>
          <w:sz w:val="44"/>
          <w:szCs w:val="44"/>
        </w:rPr>
      </w:pP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3</w:t>
      </w:r>
      <w:r>
        <w:rPr>
          <w:rFonts w:hint="eastAsia" w:ascii="黑体" w:hAnsi="黑体" w:eastAsia="黑体" w:cs="Times New Roman"/>
          <w:sz w:val="32"/>
          <w:szCs w:val="24"/>
        </w:rPr>
        <w:t>年</w:t>
      </w:r>
      <w:r>
        <w:rPr>
          <w:rFonts w:hint="eastAsia" w:ascii="黑体" w:hAnsi="黑体" w:eastAsia="黑体" w:cs="Times New Roman"/>
          <w:sz w:val="32"/>
          <w:szCs w:val="24"/>
          <w:lang w:val="en-US" w:eastAsia="zh-CN"/>
        </w:rPr>
        <w:t>10</w:t>
      </w:r>
      <w:r>
        <w:rPr>
          <w:rFonts w:hint="eastAsia" w:ascii="黑体" w:hAnsi="黑体" w:eastAsia="黑体" w:cs="Times New Roman"/>
          <w:sz w:val="32"/>
          <w:szCs w:val="24"/>
        </w:rPr>
        <w:t>月</w:t>
      </w:r>
      <w:r>
        <w:rPr>
          <w:rFonts w:hint="eastAsia" w:ascii="黑体" w:hAnsi="黑体" w:eastAsia="黑体" w:cs="Times New Roman"/>
          <w:sz w:val="32"/>
          <w:szCs w:val="24"/>
          <w:lang w:val="en-US" w:eastAsia="zh-CN"/>
        </w:rPr>
        <w:t>30日</w:t>
      </w:r>
    </w:p>
    <w:p>
      <w:pPr>
        <w:jc w:val="center"/>
        <w:rPr>
          <w:rFonts w:hint="eastAsia" w:ascii="方正小标宋简体" w:hAnsi="宋体" w:eastAsia="方正小标宋简体" w:cs="Times New Roman"/>
          <w:sz w:val="44"/>
          <w:szCs w:val="44"/>
        </w:rPr>
      </w:pPr>
    </w:p>
    <w:p>
      <w:pPr>
        <w:jc w:val="center"/>
        <w:rPr>
          <w:rFonts w:hint="eastAsia" w:ascii="方正小标宋简体" w:hAnsi="宋体" w:eastAsia="方正小标宋简体" w:cs="Times New Roman"/>
          <w:sz w:val="44"/>
          <w:szCs w:val="44"/>
        </w:rPr>
      </w:pPr>
    </w:p>
    <w:p>
      <w:pPr>
        <w:jc w:val="center"/>
        <w:rPr>
          <w:rFonts w:ascii="方正小标宋简体" w:hAnsi="宋体" w:eastAsia="方正小标宋简体" w:cs="Times New Roman"/>
          <w:sz w:val="44"/>
          <w:szCs w:val="44"/>
        </w:rPr>
      </w:pPr>
      <w:r>
        <w:rPr>
          <w:rFonts w:hint="eastAsia" w:ascii="方正小标宋简体" w:hAnsi="宋体" w:eastAsia="方正小标宋简体" w:cs="Times New Roman"/>
          <w:sz w:val="44"/>
          <w:szCs w:val="44"/>
        </w:rPr>
        <w:t>第一章 招标公告</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一、招标条件</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招标单位</w:t>
      </w:r>
      <w:r>
        <w:rPr>
          <w:rFonts w:hint="eastAsia" w:ascii="仿宋" w:hAnsi="仿宋" w:eastAsia="仿宋" w:cs="仿宋"/>
          <w:sz w:val="28"/>
          <w:szCs w:val="28"/>
          <w:lang w:eastAsia="zh-CN"/>
        </w:rPr>
        <w:t>（招标人）：山东岱岳制盐</w:t>
      </w:r>
      <w:r>
        <w:rPr>
          <w:rFonts w:hint="eastAsia" w:ascii="仿宋" w:hAnsi="仿宋" w:eastAsia="仿宋" w:cs="仿宋"/>
          <w:sz w:val="28"/>
          <w:szCs w:val="28"/>
        </w:rPr>
        <w:t>有限公司</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分布式光伏发电建设项目</w:t>
      </w:r>
      <w:r>
        <w:rPr>
          <w:rFonts w:hint="eastAsia" w:ascii="仿宋" w:hAnsi="仿宋" w:eastAsia="仿宋" w:cs="仿宋"/>
          <w:sz w:val="28"/>
          <w:szCs w:val="28"/>
        </w:rPr>
        <w:t>，该项目已具备招标条件，现对该项目</w:t>
      </w:r>
      <w:r>
        <w:rPr>
          <w:rFonts w:hint="eastAsia" w:ascii="仿宋" w:hAnsi="仿宋" w:eastAsia="仿宋" w:cs="仿宋"/>
          <w:sz w:val="28"/>
          <w:szCs w:val="28"/>
          <w:lang w:eastAsia="zh-CN"/>
        </w:rPr>
        <w:t>采购和施工</w:t>
      </w:r>
      <w:r>
        <w:rPr>
          <w:rFonts w:hint="eastAsia" w:ascii="仿宋" w:hAnsi="仿宋" w:eastAsia="仿宋" w:cs="仿宋"/>
          <w:sz w:val="28"/>
          <w:szCs w:val="28"/>
        </w:rPr>
        <w:t>进行</w:t>
      </w:r>
      <w:r>
        <w:rPr>
          <w:rFonts w:hint="eastAsia" w:ascii="仿宋" w:hAnsi="仿宋" w:eastAsia="仿宋" w:cs="仿宋"/>
          <w:sz w:val="28"/>
          <w:szCs w:val="28"/>
          <w:lang w:eastAsia="zh-CN"/>
        </w:rPr>
        <w:t>询比价招标</w:t>
      </w:r>
      <w:r>
        <w:rPr>
          <w:rFonts w:hint="eastAsia" w:ascii="仿宋" w:hAnsi="仿宋" w:eastAsia="仿宋" w:cs="仿宋"/>
          <w:sz w:val="28"/>
          <w:szCs w:val="28"/>
        </w:rPr>
        <w:t>。</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二、项目概况</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项目名称：分布式光伏发电建设项目</w:t>
      </w:r>
      <w:r>
        <w:rPr>
          <w:rFonts w:hint="eastAsia" w:ascii="仿宋" w:hAnsi="仿宋" w:eastAsia="仿宋" w:cs="仿宋"/>
          <w:sz w:val="28"/>
          <w:szCs w:val="28"/>
          <w:lang w:val="zh-CN"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2、项目地点：山东岱岳制盐</w:t>
      </w:r>
      <w:r>
        <w:rPr>
          <w:rFonts w:hint="eastAsia" w:ascii="仿宋" w:hAnsi="仿宋" w:eastAsia="仿宋" w:cs="仿宋"/>
          <w:sz w:val="28"/>
          <w:szCs w:val="28"/>
        </w:rPr>
        <w:t>有限公司</w:t>
      </w:r>
      <w:r>
        <w:rPr>
          <w:rFonts w:hint="eastAsia" w:ascii="仿宋" w:hAnsi="仿宋" w:eastAsia="仿宋" w:cs="仿宋"/>
          <w:sz w:val="28"/>
          <w:szCs w:val="28"/>
          <w:lang w:eastAsia="zh-CN"/>
        </w:rPr>
        <w:t>院内。</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项目建设的主要内容：</w:t>
      </w:r>
    </w:p>
    <w:p>
      <w:pPr>
        <w:numPr>
          <w:ilvl w:val="0"/>
          <w:numId w:val="1"/>
        </w:numPr>
        <w:ind w:left="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招标人向投标人无偿提供其拥有合法产权的位于山东省泰安市岱岳区满庄大汶口工业园山东岱岳制盐有限公司内的项目占地以及相应的具备安装光伏条件的建筑物，即光伏项目所需的车间或者房屋的屋顶、停车场等，由投标人在项目占地及相应建筑物屋顶之上建设分布式光伏发电站，生产可再生能源电力，在满足招标人用能需求后，多余发电量并入公共电网消纳。</w:t>
      </w:r>
    </w:p>
    <w:p>
      <w:pPr>
        <w:numPr>
          <w:ilvl w:val="0"/>
          <w:numId w:val="1"/>
        </w:numPr>
        <w:ind w:left="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双方通过本项目的合作，替代部分公共电网供给招标人的电能，降低招标人企业外购电数量，目前，招标人每天平均电力缺口约4.5万kwh。同时，依据本项目相关所产生的碳排放等绿色能源指标归招标人所有。</w:t>
      </w:r>
    </w:p>
    <w:p>
      <w:pPr>
        <w:pStyle w:val="2"/>
        <w:numPr>
          <w:ilvl w:val="0"/>
          <w:numId w:val="1"/>
        </w:numPr>
        <w:tabs>
          <w:tab w:val="left" w:pos="933"/>
        </w:tabs>
        <w:spacing w:line="240" w:lineRule="auto"/>
        <w:ind w:left="0" w:right="0" w:firstLine="560" w:firstLineChars="200"/>
        <w:jc w:val="left"/>
        <w:outlineLvl w:val="1"/>
        <w:rPr>
          <w:rFonts w:hint="eastAsia" w:ascii="仿宋" w:hAnsi="仿宋" w:eastAsia="仿宋" w:cs="仿宋"/>
          <w:spacing w:val="0"/>
          <w:sz w:val="28"/>
          <w:szCs w:val="28"/>
          <w:lang w:val="en-US" w:eastAsia="zh-CN"/>
        </w:rPr>
      </w:pPr>
      <w:bookmarkStart w:id="0" w:name="_Toc9550"/>
      <w:r>
        <w:rPr>
          <w:rFonts w:hint="eastAsia" w:ascii="仿宋" w:hAnsi="仿宋" w:eastAsia="仿宋" w:cs="仿宋"/>
          <w:sz w:val="28"/>
          <w:szCs w:val="28"/>
        </w:rPr>
        <w:t>建设规模</w:t>
      </w:r>
      <w:bookmarkEnd w:id="0"/>
      <w:r>
        <w:rPr>
          <w:rFonts w:hint="eastAsia" w:ascii="仿宋" w:hAnsi="仿宋" w:eastAsia="仿宋" w:cs="仿宋"/>
          <w:sz w:val="28"/>
          <w:szCs w:val="28"/>
          <w:lang w:eastAsia="zh-CN"/>
        </w:rPr>
        <w:t>：</w:t>
      </w:r>
      <w:r>
        <w:rPr>
          <w:rFonts w:hint="eastAsia" w:ascii="仿宋" w:hAnsi="仿宋" w:eastAsia="仿宋" w:cs="仿宋"/>
          <w:spacing w:val="0"/>
          <w:sz w:val="28"/>
          <w:szCs w:val="28"/>
          <w:lang w:val="en-US" w:eastAsia="zh-CN"/>
        </w:rPr>
        <w:t>拟定在现有建成的混凝土屋顶、双层保温彩光瓦屋顶、空地和停车场进行建设，总面积约为50000㎡，其中：</w:t>
      </w:r>
    </w:p>
    <w:p>
      <w:pPr>
        <w:pStyle w:val="2"/>
        <w:numPr>
          <w:ilvl w:val="-1"/>
          <w:numId w:val="0"/>
        </w:numPr>
        <w:tabs>
          <w:tab w:val="left" w:pos="933"/>
        </w:tabs>
        <w:spacing w:line="240" w:lineRule="auto"/>
        <w:ind w:left="420" w:leftChars="200" w:right="0" w:firstLine="0" w:firstLineChars="0"/>
        <w:jc w:val="left"/>
        <w:outlineLvl w:val="1"/>
        <w:rPr>
          <w:rFonts w:hint="eastAsia" w:ascii="仿宋" w:hAnsi="仿宋" w:eastAsia="仿宋" w:cs="仿宋"/>
          <w:spacing w:val="0"/>
          <w:sz w:val="28"/>
          <w:szCs w:val="28"/>
          <w:lang w:val="en-US" w:eastAsia="zh-CN"/>
        </w:rPr>
      </w:pPr>
      <w:r>
        <w:rPr>
          <w:rFonts w:hint="eastAsia" w:ascii="仿宋" w:hAnsi="仿宋" w:eastAsia="仿宋" w:cs="仿宋"/>
          <w:spacing w:val="0"/>
          <w:sz w:val="28"/>
          <w:szCs w:val="28"/>
          <w:lang w:val="en-US" w:eastAsia="zh-CN"/>
        </w:rPr>
        <w:t>包装仓储车间屋顶，彩钢瓦与混凝土屋面，综合面积约为37000㎡；</w:t>
      </w:r>
    </w:p>
    <w:p>
      <w:pPr>
        <w:pStyle w:val="2"/>
        <w:numPr>
          <w:ilvl w:val="-1"/>
          <w:numId w:val="0"/>
        </w:numPr>
        <w:tabs>
          <w:tab w:val="left" w:pos="933"/>
        </w:tabs>
        <w:spacing w:line="240" w:lineRule="auto"/>
        <w:ind w:left="420" w:leftChars="200" w:right="0" w:firstLine="0" w:firstLineChars="0"/>
        <w:jc w:val="left"/>
        <w:outlineLvl w:val="1"/>
        <w:rPr>
          <w:rFonts w:hint="eastAsia" w:ascii="仿宋" w:hAnsi="仿宋" w:eastAsia="仿宋" w:cs="仿宋"/>
          <w:sz w:val="28"/>
          <w:szCs w:val="28"/>
          <w:lang w:eastAsia="zh-CN"/>
        </w:rPr>
      </w:pPr>
      <w:r>
        <w:rPr>
          <w:rFonts w:hint="eastAsia" w:ascii="仿宋" w:hAnsi="仿宋" w:eastAsia="仿宋" w:cs="仿宋"/>
          <w:spacing w:val="0"/>
          <w:sz w:val="28"/>
          <w:szCs w:val="28"/>
          <w:lang w:val="en-US" w:eastAsia="zh-CN"/>
        </w:rPr>
        <w:t>散湿盐库双T板屋顶面积为约7000㎡；</w:t>
      </w:r>
    </w:p>
    <w:p>
      <w:pPr>
        <w:pStyle w:val="2"/>
        <w:numPr>
          <w:ilvl w:val="-1"/>
          <w:numId w:val="0"/>
        </w:numPr>
        <w:tabs>
          <w:tab w:val="left" w:pos="933"/>
        </w:tabs>
        <w:spacing w:line="240" w:lineRule="auto"/>
        <w:ind w:left="420" w:leftChars="200" w:right="0" w:firstLine="0" w:firstLineChars="0"/>
        <w:jc w:val="left"/>
        <w:outlineLvl w:val="1"/>
        <w:rPr>
          <w:rFonts w:hint="eastAsia" w:ascii="仿宋" w:hAnsi="仿宋" w:eastAsia="仿宋" w:cs="仿宋"/>
          <w:sz w:val="28"/>
          <w:szCs w:val="28"/>
          <w:lang w:eastAsia="zh-CN"/>
        </w:rPr>
      </w:pPr>
      <w:r>
        <w:rPr>
          <w:rFonts w:hint="eastAsia" w:ascii="仿宋" w:hAnsi="仿宋" w:eastAsia="仿宋" w:cs="仿宋"/>
          <w:spacing w:val="0"/>
          <w:sz w:val="28"/>
          <w:szCs w:val="28"/>
          <w:lang w:val="en-US" w:eastAsia="zh-CN"/>
        </w:rPr>
        <w:t>散湿盐库前绿化带，占地面积约为3000㎡；</w:t>
      </w:r>
    </w:p>
    <w:p>
      <w:pPr>
        <w:pStyle w:val="2"/>
        <w:numPr>
          <w:ilvl w:val="-1"/>
          <w:numId w:val="0"/>
        </w:numPr>
        <w:tabs>
          <w:tab w:val="left" w:pos="933"/>
        </w:tabs>
        <w:ind w:left="420" w:leftChars="200" w:firstLine="0" w:firstLineChars="0"/>
        <w:jc w:val="left"/>
        <w:outlineLvl w:val="1"/>
        <w:rPr>
          <w:rFonts w:hint="eastAsia" w:ascii="仿宋" w:hAnsi="仿宋" w:eastAsia="仿宋" w:cs="仿宋"/>
          <w:spacing w:val="0"/>
          <w:sz w:val="28"/>
          <w:szCs w:val="28"/>
          <w:lang w:val="en-US" w:eastAsia="zh-CN"/>
        </w:rPr>
      </w:pPr>
      <w:r>
        <w:rPr>
          <w:rFonts w:hint="eastAsia" w:ascii="仿宋" w:hAnsi="仿宋" w:eastAsia="仿宋" w:cs="仿宋"/>
          <w:spacing w:val="0"/>
          <w:sz w:val="28"/>
          <w:szCs w:val="28"/>
          <w:lang w:val="en-US" w:eastAsia="zh-CN"/>
        </w:rPr>
        <w:t>停车场面积约为2870㎡；</w:t>
      </w:r>
    </w:p>
    <w:p>
      <w:pPr>
        <w:pStyle w:val="2"/>
        <w:numPr>
          <w:ilvl w:val="0"/>
          <w:numId w:val="1"/>
        </w:numPr>
        <w:tabs>
          <w:tab w:val="left" w:pos="933"/>
        </w:tabs>
        <w:ind w:left="0" w:firstLine="560" w:firstLineChars="200"/>
        <w:jc w:val="left"/>
        <w:outlineLvl w:val="1"/>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项目建成后，预计装机容量</w:t>
      </w:r>
      <w:r>
        <w:rPr>
          <w:rFonts w:hint="eastAsia" w:ascii="仿宋" w:hAnsi="仿宋" w:eastAsia="仿宋" w:cs="仿宋"/>
          <w:spacing w:val="0"/>
          <w:sz w:val="28"/>
          <w:szCs w:val="28"/>
          <w:lang w:val="en-US" w:eastAsia="zh-CN"/>
        </w:rPr>
        <w:t>约为4.6MWp</w:t>
      </w:r>
      <w:r>
        <w:rPr>
          <w:rFonts w:hint="eastAsia" w:ascii="仿宋" w:hAnsi="仿宋" w:eastAsia="仿宋" w:cs="仿宋"/>
          <w:sz w:val="28"/>
          <w:szCs w:val="28"/>
          <w:lang w:val="en-US" w:eastAsia="zh-CN"/>
        </w:rPr>
        <w:t>，</w:t>
      </w:r>
      <w:r>
        <w:rPr>
          <w:rFonts w:hint="eastAsia" w:ascii="仿宋" w:hAnsi="仿宋" w:eastAsia="仿宋" w:cs="仿宋"/>
          <w:spacing w:val="0"/>
          <w:sz w:val="28"/>
          <w:szCs w:val="28"/>
          <w:lang w:val="en-US" w:eastAsia="zh-CN"/>
        </w:rPr>
        <w:t>采</w:t>
      </w:r>
      <w:r>
        <w:rPr>
          <w:rFonts w:hint="eastAsia" w:ascii="仿宋" w:hAnsi="仿宋" w:eastAsia="仿宋" w:cs="仿宋"/>
          <w:sz w:val="28"/>
          <w:szCs w:val="28"/>
          <w:lang w:val="en-US" w:eastAsia="zh-CN"/>
        </w:rPr>
        <w:t>用并</w:t>
      </w:r>
      <w:r>
        <w:rPr>
          <w:rFonts w:hint="eastAsia" w:ascii="仿宋" w:hAnsi="仿宋" w:eastAsia="仿宋" w:cs="仿宋"/>
          <w:spacing w:val="0"/>
          <w:sz w:val="28"/>
          <w:szCs w:val="28"/>
          <w:lang w:val="en-US" w:eastAsia="zh-CN"/>
        </w:rPr>
        <w:t>网的方式接入园区</w:t>
      </w:r>
      <w:r>
        <w:rPr>
          <w:rFonts w:hint="eastAsia" w:ascii="仿宋" w:hAnsi="仿宋" w:eastAsia="仿宋" w:cs="仿宋"/>
          <w:sz w:val="28"/>
          <w:szCs w:val="28"/>
          <w:lang w:val="en-US" w:eastAsia="zh-CN"/>
        </w:rPr>
        <w:t>母线</w:t>
      </w:r>
      <w:r>
        <w:rPr>
          <w:rFonts w:hint="eastAsia" w:ascii="仿宋" w:hAnsi="仿宋" w:eastAsia="仿宋" w:cs="仿宋"/>
          <w:spacing w:val="0"/>
          <w:sz w:val="28"/>
          <w:szCs w:val="28"/>
          <w:lang w:val="en-US" w:eastAsia="zh-CN"/>
        </w:rPr>
        <w:t>。</w:t>
      </w:r>
      <w:r>
        <w:rPr>
          <w:rFonts w:hint="eastAsia" w:ascii="仿宋" w:hAnsi="仿宋" w:eastAsia="仿宋" w:cs="仿宋"/>
          <w:sz w:val="28"/>
          <w:szCs w:val="28"/>
          <w:lang w:val="en-US" w:eastAsia="zh-CN"/>
        </w:rPr>
        <w:t>最终装机容量以双方协商的实际利用建筑物屋顶、占地等面积为准，最终装机容量和并网方式以发改委等职能部门备案、批准和电力部门接入批复文件核准的方式为准。</w:t>
      </w:r>
    </w:p>
    <w:p>
      <w:pPr>
        <w:numPr>
          <w:ilvl w:val="0"/>
          <w:numId w:val="1"/>
        </w:numPr>
        <w:ind w:left="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本项目物权归投标人所有，投标人负责实施本项目，包括对本项目进行投资和获得收益，并且承担项目电站设计施工、建设以及项目并网手续办理、投产后的运营、管理、维护。</w:t>
      </w:r>
    </w:p>
    <w:p>
      <w:pPr>
        <w:numPr>
          <w:ilvl w:val="0"/>
          <w:numId w:val="1"/>
        </w:numPr>
        <w:snapToGrid/>
        <w:spacing w:before="0" w:beforeAutospacing="0" w:after="0" w:afterAutospacing="0" w:line="240" w:lineRule="auto"/>
        <w:ind w:left="0" w:leftChars="0" w:firstLine="560" w:firstLineChars="200"/>
        <w:jc w:val="both"/>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投标人应紧密衔接好各项进度，尽快实施项目建设，尽快产生效益。故实施本项目的期限是：在双方签订合作协议后的120日历天内完成手续办理、施工建设，开始发电运行。否则，双方签订的合作协议失效，招标人有权收回向投标人无偿提供的车间或者房屋的屋顶、停车场等项目占地的使用权，另行寻找合作方。</w:t>
      </w:r>
    </w:p>
    <w:p>
      <w:pPr>
        <w:pStyle w:val="15"/>
        <w:snapToGrid/>
        <w:spacing w:before="0" w:beforeAutospacing="0" w:after="0" w:afterAutospacing="0" w:line="240" w:lineRule="auto"/>
        <w:ind w:left="0" w:leftChars="0" w:firstLine="0" w:firstLineChars="0"/>
        <w:jc w:val="both"/>
        <w:textAlignment w:val="baseline"/>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三、项目建设招标范围：</w:t>
      </w:r>
    </w:p>
    <w:p>
      <w:pPr>
        <w:pStyle w:val="15"/>
        <w:numPr>
          <w:ilvl w:val="-1"/>
          <w:numId w:val="0"/>
        </w:numPr>
        <w:snapToGrid w:val="0"/>
        <w:spacing w:line="360" w:lineRule="auto"/>
        <w:ind w:left="420" w:leftChars="200" w:firstLine="0" w:firstLineChars="0"/>
        <w:jc w:val="both"/>
        <w:textAlignment w:val="baseline"/>
        <w:rPr>
          <w:rFonts w:hint="eastAsia" w:ascii="仿宋" w:hAnsi="仿宋" w:eastAsia="仿宋" w:cs="仿宋"/>
          <w:kern w:val="2"/>
          <w:sz w:val="28"/>
          <w:szCs w:val="28"/>
          <w:lang w:val="en-US" w:eastAsia="zh-CN" w:bidi="ar-SA"/>
        </w:rPr>
      </w:pPr>
      <w:r>
        <w:rPr>
          <w:rFonts w:hint="eastAsia" w:ascii="仿宋" w:hAnsi="仿宋" w:eastAsia="仿宋" w:cs="仿宋"/>
          <w:sz w:val="28"/>
          <w:szCs w:val="28"/>
          <w:lang w:val="en-US" w:eastAsia="zh-CN"/>
        </w:rPr>
        <w:t>投标人在招标人所有的项目占地及相应建筑物屋顶之上建设分布式光伏发电站，其所生产的可再生能源电力，供给招标人使用的价格，单位为</w:t>
      </w:r>
      <w:r>
        <w:rPr>
          <w:rFonts w:hint="eastAsia" w:ascii="仿宋" w:hAnsi="仿宋" w:eastAsia="仿宋" w:cs="仿宋"/>
          <w:kern w:val="2"/>
          <w:sz w:val="28"/>
          <w:szCs w:val="28"/>
          <w:u w:val="single"/>
          <w:lang w:val="en-US" w:eastAsia="zh-CN" w:bidi="ar-SA"/>
        </w:rPr>
        <w:t>元/KWh</w:t>
      </w:r>
      <w:r>
        <w:rPr>
          <w:rFonts w:hint="eastAsia" w:ascii="仿宋" w:hAnsi="仿宋" w:eastAsia="仿宋" w:cs="仿宋"/>
          <w:kern w:val="2"/>
          <w:sz w:val="28"/>
          <w:szCs w:val="28"/>
          <w:lang w:val="en-US" w:eastAsia="zh-CN" w:bidi="ar-SA"/>
        </w:rPr>
        <w:t>。</w:t>
      </w:r>
    </w:p>
    <w:p>
      <w:pPr>
        <w:pStyle w:val="15"/>
        <w:snapToGrid/>
        <w:spacing w:before="0" w:beforeAutospacing="0" w:after="0" w:afterAutospacing="0" w:line="240" w:lineRule="auto"/>
        <w:ind w:left="0" w:leftChars="0" w:firstLine="0" w:firstLineChars="0"/>
        <w:jc w:val="both"/>
        <w:textAlignment w:val="baseline"/>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四、其他要求：</w:t>
      </w:r>
    </w:p>
    <w:p>
      <w:pPr>
        <w:numPr>
          <w:ilvl w:val="0"/>
          <w:numId w:val="2"/>
        </w:numPr>
        <w:snapToGrid/>
        <w:spacing w:before="0" w:beforeAutospacing="0" w:after="0" w:afterAutospacing="0" w:line="240" w:lineRule="auto"/>
        <w:ind w:left="0" w:leftChars="0" w:firstLine="560" w:firstLineChars="200"/>
        <w:jc w:val="both"/>
        <w:textAlignment w:val="baseline"/>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招标人向投标人出租其拥有合法产权的项目占地及相应建筑物用于建设及运营本项目，租赁期限为20年；租赁期满，招标人、投标人未书面提出不延续本合同租赁期限的，租赁期限自动延续5年。结束后双方同意协商继续租赁、合作事宜，同等条件下，投标人具有优先权利，同时，甲、乙双方协商并签署补充协议确定租金价格。节能效益分享期到期后，投标人可以自行拆除光伏设备，招标人应免费为投标人提供施工期间存放拆除下的光伏设备、材料及工具等的场所。</w:t>
      </w:r>
    </w:p>
    <w:p>
      <w:pPr>
        <w:numPr>
          <w:ilvl w:val="0"/>
          <w:numId w:val="2"/>
        </w:numPr>
        <w:snapToGrid/>
        <w:spacing w:before="0" w:beforeAutospacing="0" w:after="0" w:afterAutospacing="0" w:line="240" w:lineRule="auto"/>
        <w:ind w:left="0" w:leftChars="0" w:firstLine="560" w:firstLineChars="200"/>
        <w:jc w:val="both"/>
        <w:textAlignment w:val="baseline"/>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屋顶占地移交前，双方应对建筑物屋顶的状况进行现场确认，并签署书面确认移交文件。如投标人在屋顶占地移交时或前发现屋顶占地有漏水或其他无法满足投标人建设或运营项目之用途的状况，投标人可根据实际需要，向招标人提报维修方案，在获得招标人许可的情况下，拆除原有屋面、更换新的屋面或者维修，相关费用全部由投标人承担。</w:t>
      </w:r>
    </w:p>
    <w:p>
      <w:pPr>
        <w:numPr>
          <w:ilvl w:val="0"/>
          <w:numId w:val="2"/>
        </w:numPr>
        <w:snapToGrid/>
        <w:spacing w:before="0" w:beforeAutospacing="0" w:after="0" w:afterAutospacing="0" w:line="240" w:lineRule="auto"/>
        <w:ind w:left="0" w:leftChars="0" w:firstLine="560" w:firstLineChars="200"/>
        <w:jc w:val="both"/>
        <w:textAlignment w:val="baseline"/>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屋顶占地移交后发现漏水等问题均由投标人负责维修并承担相应费用，同时对给招标人造成的损失承担赔偿的责任。</w:t>
      </w:r>
    </w:p>
    <w:p>
      <w:pPr>
        <w:numPr>
          <w:ilvl w:val="0"/>
          <w:numId w:val="2"/>
        </w:numPr>
        <w:snapToGrid/>
        <w:spacing w:before="0" w:beforeAutospacing="0" w:after="0" w:afterAutospacing="0" w:line="240" w:lineRule="auto"/>
        <w:ind w:left="0" w:leftChars="0" w:firstLine="560" w:firstLineChars="200"/>
        <w:jc w:val="both"/>
        <w:textAlignment w:val="baseline"/>
        <w:rPr>
          <w:rFonts w:hint="eastAsia" w:ascii="仿宋" w:hAnsi="仿宋" w:eastAsia="仿宋" w:cs="仿宋"/>
          <w:spacing w:val="0"/>
          <w:sz w:val="28"/>
          <w:szCs w:val="28"/>
          <w:lang w:val="en-US" w:eastAsia="zh-CN"/>
        </w:rPr>
      </w:pPr>
      <w:r>
        <w:rPr>
          <w:rFonts w:hint="eastAsia" w:ascii="仿宋" w:hAnsi="仿宋" w:eastAsia="仿宋" w:cs="仿宋"/>
          <w:spacing w:val="0"/>
          <w:sz w:val="28"/>
          <w:szCs w:val="28"/>
          <w:lang w:val="en-US" w:eastAsia="zh-CN"/>
        </w:rPr>
        <w:t>投标人在对建筑物屋顶进行利用、施工前，必须提供建筑工程甲级或以上资质设计院的建筑物《荷载报告》或者建筑物《检测报告》，不能满足施工条件的，要提供建筑物《加固方案》。同时</w:t>
      </w:r>
      <w:r>
        <w:rPr>
          <w:rFonts w:hint="eastAsia" w:ascii="仿宋" w:hAnsi="仿宋" w:eastAsia="仿宋" w:cs="仿宋"/>
          <w:kern w:val="2"/>
          <w:sz w:val="28"/>
          <w:szCs w:val="28"/>
          <w:lang w:val="en-US" w:eastAsia="zh-CN" w:bidi="ar-SA"/>
        </w:rPr>
        <w:t>招标人的</w:t>
      </w:r>
      <w:r>
        <w:rPr>
          <w:rFonts w:hint="eastAsia" w:ascii="仿宋" w:hAnsi="仿宋" w:eastAsia="仿宋" w:cs="仿宋"/>
          <w:spacing w:val="0"/>
          <w:sz w:val="28"/>
          <w:szCs w:val="28"/>
          <w:lang w:val="en-US" w:eastAsia="zh-CN"/>
        </w:rPr>
        <w:t>包装仓储车间成品库屋顶，是双层保温彩钢瓦钢构建筑，对该建筑的《加固方案》，要求不得以破坏双层保温彩钢瓦方式进行。以上报告和方案，提报招标人同意后方可施工。</w:t>
      </w:r>
    </w:p>
    <w:p>
      <w:pPr>
        <w:numPr>
          <w:ilvl w:val="0"/>
          <w:numId w:val="2"/>
        </w:numPr>
        <w:snapToGrid/>
        <w:spacing w:before="0" w:beforeAutospacing="0" w:after="0" w:afterAutospacing="0" w:line="240" w:lineRule="auto"/>
        <w:ind w:left="0" w:leftChars="0" w:firstLine="560" w:firstLineChars="200"/>
        <w:jc w:val="both"/>
        <w:textAlignment w:val="baseline"/>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本协议有效期内，如招标人因正常需要或维修问题确需对本项目屋顶占地进行翻修、改造，或者需拆除、更换、更改、添加或移动部分项目设备、设施的，招标人施工前应至少提前15个工作日书面通知投标人，双方根据招标人屋顶维修、维护区域的大小、程度约定合理的施工期限，投标人应安排工作人员予以配合。节能效益分享期内、投标人提供光伏设备、设施拆除及安装服务以配合招标人屋顶施工及技改、维修等工程，因此产生的费用由双方协商解决。</w:t>
      </w:r>
    </w:p>
    <w:p>
      <w:pPr>
        <w:numPr>
          <w:ilvl w:val="0"/>
          <w:numId w:val="2"/>
        </w:numPr>
        <w:snapToGrid/>
        <w:spacing w:before="0" w:beforeAutospacing="0" w:after="0" w:afterAutospacing="0" w:line="240" w:lineRule="auto"/>
        <w:ind w:left="0" w:leftChars="0" w:firstLine="560" w:firstLineChars="200"/>
        <w:jc w:val="both"/>
        <w:textAlignment w:val="baseline"/>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建议投标人提前踏勘现场后再进行报价；</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三、投标人资格要求</w:t>
      </w:r>
    </w:p>
    <w:p>
      <w:pPr>
        <w:numPr>
          <w:ilvl w:val="0"/>
          <w:numId w:val="3"/>
        </w:numPr>
        <w:ind w:firstLine="560" w:firstLineChars="200"/>
        <w:rPr>
          <w:rFonts w:hint="eastAsia" w:ascii="仿宋" w:hAnsi="仿宋" w:eastAsia="仿宋" w:cs="仿宋"/>
          <w:sz w:val="28"/>
          <w:szCs w:val="28"/>
        </w:rPr>
      </w:pPr>
      <w:r>
        <w:rPr>
          <w:rFonts w:hint="eastAsia" w:ascii="仿宋" w:hAnsi="仿宋" w:eastAsia="仿宋" w:cs="仿宋"/>
          <w:sz w:val="28"/>
          <w:szCs w:val="28"/>
        </w:rPr>
        <w:t>投标人为具有独立法人资格的企业；具有独立订立合同的能力，具备出具商业增值税专用发票能力。</w:t>
      </w:r>
    </w:p>
    <w:p>
      <w:pPr>
        <w:numPr>
          <w:ilvl w:val="0"/>
          <w:numId w:val="3"/>
        </w:numPr>
        <w:ind w:firstLine="560" w:firstLineChars="200"/>
        <w:rPr>
          <w:rFonts w:hint="eastAsia" w:ascii="仿宋" w:hAnsi="仿宋" w:eastAsia="仿宋" w:cs="仿宋"/>
          <w:sz w:val="28"/>
          <w:szCs w:val="28"/>
        </w:rPr>
      </w:pPr>
      <w:r>
        <w:rPr>
          <w:rFonts w:hint="eastAsia" w:ascii="仿宋" w:hAnsi="仿宋" w:eastAsia="仿宋" w:cs="仿宋"/>
          <w:sz w:val="28"/>
          <w:szCs w:val="28"/>
        </w:rPr>
        <w:t>具有良好的商业信誉，投标人未被列入“信用中国”网站</w:t>
      </w:r>
      <w:r>
        <w:rPr>
          <w:rFonts w:hint="eastAsia" w:ascii="仿宋" w:hAnsi="仿宋" w:eastAsia="仿宋" w:cs="仿宋"/>
          <w:sz w:val="28"/>
          <w:szCs w:val="28"/>
          <w:lang w:eastAsia="zh-CN"/>
        </w:rPr>
        <w:t>（</w:t>
      </w:r>
      <w:r>
        <w:rPr>
          <w:rFonts w:hint="eastAsia" w:ascii="仿宋" w:hAnsi="仿宋" w:eastAsia="仿宋" w:cs="仿宋"/>
          <w:sz w:val="28"/>
          <w:szCs w:val="28"/>
        </w:rPr>
        <w:t>www.creditchina.gov.cn)“失信被执行人”记录名单</w:t>
      </w:r>
      <w:r>
        <w:rPr>
          <w:rFonts w:hint="eastAsia" w:ascii="仿宋" w:hAnsi="仿宋" w:eastAsia="仿宋" w:cs="仿宋"/>
          <w:sz w:val="28"/>
          <w:szCs w:val="28"/>
          <w:lang w:eastAsia="zh-CN"/>
        </w:rPr>
        <w:t>。</w:t>
      </w:r>
    </w:p>
    <w:p>
      <w:pPr>
        <w:numPr>
          <w:ilvl w:val="0"/>
          <w:numId w:val="3"/>
        </w:numPr>
        <w:ind w:firstLine="560" w:firstLineChars="200"/>
        <w:rPr>
          <w:rFonts w:hint="eastAsia" w:ascii="仿宋" w:hAnsi="仿宋" w:eastAsia="仿宋" w:cs="仿宋"/>
          <w:sz w:val="28"/>
          <w:szCs w:val="28"/>
        </w:rPr>
      </w:pPr>
      <w:r>
        <w:rPr>
          <w:rFonts w:hint="eastAsia" w:ascii="仿宋" w:hAnsi="仿宋" w:eastAsia="仿宋" w:cs="仿宋"/>
          <w:sz w:val="28"/>
          <w:szCs w:val="28"/>
        </w:rPr>
        <w:t>具备光伏发电项目</w:t>
      </w:r>
      <w:r>
        <w:rPr>
          <w:rFonts w:hint="eastAsia" w:ascii="仿宋" w:hAnsi="仿宋" w:eastAsia="仿宋" w:cs="仿宋"/>
          <w:sz w:val="28"/>
          <w:szCs w:val="28"/>
          <w:lang w:eastAsia="zh-CN"/>
        </w:rPr>
        <w:t>报建、</w:t>
      </w:r>
      <w:r>
        <w:rPr>
          <w:rFonts w:hint="eastAsia" w:ascii="仿宋" w:hAnsi="仿宋" w:eastAsia="仿宋" w:cs="仿宋"/>
          <w:sz w:val="28"/>
          <w:szCs w:val="28"/>
        </w:rPr>
        <w:t>设计</w:t>
      </w:r>
      <w:r>
        <w:rPr>
          <w:rFonts w:hint="eastAsia" w:ascii="仿宋" w:hAnsi="仿宋" w:eastAsia="仿宋" w:cs="仿宋"/>
          <w:sz w:val="28"/>
          <w:szCs w:val="28"/>
          <w:lang w:eastAsia="zh-CN"/>
        </w:rPr>
        <w:t>、建设、</w:t>
      </w:r>
      <w:r>
        <w:rPr>
          <w:rFonts w:hint="eastAsia" w:ascii="仿宋" w:hAnsi="仿宋" w:eastAsia="仿宋" w:cs="仿宋"/>
          <w:sz w:val="28"/>
          <w:szCs w:val="28"/>
        </w:rPr>
        <w:t>施工</w:t>
      </w:r>
      <w:r>
        <w:rPr>
          <w:rFonts w:hint="eastAsia" w:ascii="仿宋" w:hAnsi="仿宋" w:eastAsia="仿宋" w:cs="仿宋"/>
          <w:sz w:val="28"/>
          <w:szCs w:val="28"/>
          <w:lang w:eastAsia="zh-CN"/>
        </w:rPr>
        <w:t>、</w:t>
      </w:r>
      <w:r>
        <w:rPr>
          <w:rFonts w:hint="eastAsia" w:ascii="仿宋" w:hAnsi="仿宋" w:eastAsia="仿宋" w:cs="仿宋"/>
          <w:sz w:val="28"/>
          <w:szCs w:val="28"/>
        </w:rPr>
        <w:t>运维</w:t>
      </w:r>
      <w:r>
        <w:rPr>
          <w:rFonts w:hint="eastAsia" w:ascii="仿宋" w:hAnsi="仿宋" w:eastAsia="仿宋" w:cs="仿宋"/>
          <w:sz w:val="28"/>
          <w:szCs w:val="28"/>
          <w:lang w:eastAsia="zh-CN"/>
        </w:rPr>
        <w:t>等方面的</w:t>
      </w:r>
      <w:r>
        <w:rPr>
          <w:rFonts w:hint="eastAsia" w:ascii="仿宋" w:hAnsi="仿宋" w:eastAsia="仿宋" w:cs="仿宋"/>
          <w:sz w:val="28"/>
          <w:szCs w:val="28"/>
        </w:rPr>
        <w:t>项目管理能力</w:t>
      </w:r>
      <w:r>
        <w:rPr>
          <w:rFonts w:hint="eastAsia" w:ascii="仿宋" w:hAnsi="仿宋" w:eastAsia="仿宋" w:cs="仿宋"/>
          <w:sz w:val="28"/>
          <w:szCs w:val="28"/>
          <w:lang w:eastAsia="zh-CN"/>
        </w:rPr>
        <w:t>和</w:t>
      </w:r>
      <w:r>
        <w:rPr>
          <w:rFonts w:hint="eastAsia" w:ascii="仿宋" w:hAnsi="仿宋" w:eastAsia="仿宋" w:cs="仿宋"/>
          <w:sz w:val="28"/>
          <w:szCs w:val="28"/>
        </w:rPr>
        <w:t>经验</w:t>
      </w:r>
      <w:r>
        <w:rPr>
          <w:rFonts w:hint="eastAsia" w:ascii="仿宋" w:hAnsi="仿宋" w:eastAsia="仿宋" w:cs="仿宋"/>
          <w:sz w:val="28"/>
          <w:szCs w:val="28"/>
          <w:lang w:eastAsia="zh-CN"/>
        </w:rPr>
        <w:t>。</w:t>
      </w:r>
    </w:p>
    <w:p>
      <w:pPr>
        <w:numPr>
          <w:ilvl w:val="0"/>
          <w:numId w:val="3"/>
        </w:numPr>
        <w:ind w:firstLine="560" w:firstLineChars="200"/>
        <w:rPr>
          <w:rFonts w:hint="eastAsia" w:ascii="仿宋" w:hAnsi="仿宋" w:eastAsia="仿宋" w:cs="仿宋"/>
          <w:sz w:val="28"/>
          <w:szCs w:val="28"/>
        </w:rPr>
      </w:pPr>
      <w:r>
        <w:rPr>
          <w:rFonts w:hint="eastAsia" w:ascii="仿宋" w:hAnsi="仿宋" w:eastAsia="仿宋" w:cs="仿宋"/>
          <w:sz w:val="28"/>
          <w:szCs w:val="28"/>
        </w:rPr>
        <w:t>本次招标不接受联合体投标。</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四、招标文件的获取</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凡有意参加本次项目</w:t>
      </w:r>
      <w:r>
        <w:rPr>
          <w:rFonts w:hint="eastAsia" w:ascii="仿宋" w:hAnsi="仿宋" w:eastAsia="仿宋" w:cs="仿宋"/>
          <w:sz w:val="28"/>
          <w:szCs w:val="28"/>
          <w:lang w:eastAsia="zh-CN"/>
        </w:rPr>
        <w:t>招标</w:t>
      </w:r>
      <w:r>
        <w:rPr>
          <w:rFonts w:hint="eastAsia" w:ascii="仿宋" w:hAnsi="仿宋" w:eastAsia="仿宋" w:cs="仿宋"/>
          <w:sz w:val="28"/>
          <w:szCs w:val="28"/>
        </w:rPr>
        <w:t>的投标单位，须在</w:t>
      </w:r>
      <w:r>
        <w:rPr>
          <w:rFonts w:hint="eastAsia" w:ascii="仿宋" w:hAnsi="仿宋" w:eastAsia="仿宋" w:cs="仿宋"/>
          <w:sz w:val="28"/>
          <w:szCs w:val="28"/>
          <w:lang w:eastAsia="zh-CN"/>
        </w:rPr>
        <w:t>投标</w:t>
      </w:r>
      <w:r>
        <w:rPr>
          <w:rFonts w:hint="eastAsia" w:ascii="仿宋" w:hAnsi="仿宋" w:eastAsia="仿宋" w:cs="仿宋"/>
          <w:sz w:val="28"/>
          <w:szCs w:val="28"/>
        </w:rPr>
        <w:t>截止时间前</w:t>
      </w:r>
      <w:r>
        <w:rPr>
          <w:rFonts w:hint="eastAsia" w:ascii="仿宋" w:hAnsi="仿宋" w:eastAsia="仿宋" w:cs="仿宋"/>
          <w:sz w:val="28"/>
          <w:szCs w:val="28"/>
          <w:lang w:eastAsia="zh-CN"/>
        </w:rPr>
        <w:t>登录山东岱岳制盐有限公司官网（</w:t>
      </w:r>
      <w:r>
        <w:rPr>
          <w:rFonts w:hint="eastAsia" w:ascii="仿宋" w:hAnsi="仿宋" w:eastAsia="仿宋" w:cs="仿宋"/>
          <w:sz w:val="28"/>
          <w:szCs w:val="28"/>
          <w:lang w:val="en-US" w:eastAsia="zh-CN"/>
        </w:rPr>
        <w:t>www.sddyzy.com）</w:t>
      </w:r>
      <w:r>
        <w:rPr>
          <w:rFonts w:hint="eastAsia" w:ascii="仿宋" w:hAnsi="仿宋" w:eastAsia="仿宋" w:cs="仿宋"/>
          <w:sz w:val="28"/>
          <w:szCs w:val="28"/>
          <w:lang w:eastAsia="zh-CN"/>
        </w:rPr>
        <w:t>查看相关招标文件，</w:t>
      </w:r>
      <w:r>
        <w:rPr>
          <w:rFonts w:hint="eastAsia" w:ascii="仿宋" w:hAnsi="仿宋" w:eastAsia="仿宋" w:cs="仿宋"/>
          <w:sz w:val="28"/>
          <w:szCs w:val="28"/>
        </w:rPr>
        <w:t>自行下载招标文件</w:t>
      </w:r>
      <w:r>
        <w:rPr>
          <w:rFonts w:hint="eastAsia" w:ascii="仿宋" w:hAnsi="仿宋" w:eastAsia="仿宋" w:cs="仿宋"/>
          <w:sz w:val="28"/>
          <w:szCs w:val="28"/>
          <w:lang w:eastAsia="zh-CN"/>
        </w:rPr>
        <w:t>填写报名登记表进行报名（附表</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，如需图纸、证书及厂内用电设备情况等相关资料的请在报名表中列表注明，由联系人发放相关资料，报名联系人：张经理，联系电话：</w:t>
      </w:r>
      <w:r>
        <w:rPr>
          <w:rFonts w:hint="eastAsia" w:ascii="仿宋" w:hAnsi="仿宋" w:eastAsia="仿宋" w:cs="仿宋"/>
          <w:sz w:val="28"/>
          <w:szCs w:val="28"/>
          <w:lang w:val="en-US" w:eastAsia="zh-CN"/>
        </w:rPr>
        <w:t>13705382602（微信同号）</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五、投标文件的递交</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（一）投标文件递交的截止时间（投标截止时间，下同）为</w:t>
      </w:r>
      <w:bookmarkStart w:id="8" w:name="_GoBack"/>
      <w:r>
        <w:rPr>
          <w:rFonts w:hint="eastAsia" w:ascii="仿宋" w:hAnsi="仿宋" w:eastAsia="仿宋" w:cs="仿宋"/>
          <w:color w:val="FF0000"/>
          <w:sz w:val="28"/>
          <w:szCs w:val="28"/>
        </w:rPr>
        <w:t>2</w:t>
      </w:r>
      <w:r>
        <w:rPr>
          <w:rFonts w:hint="eastAsia" w:ascii="仿宋" w:hAnsi="仿宋" w:eastAsia="仿宋" w:cs="仿宋"/>
          <w:color w:val="FF0000"/>
          <w:sz w:val="28"/>
          <w:szCs w:val="28"/>
          <w:lang w:val="en-US" w:eastAsia="zh-CN"/>
        </w:rPr>
        <w:t>023年11月15日上午9:00</w:t>
      </w:r>
      <w:bookmarkEnd w:id="8"/>
      <w:r>
        <w:rPr>
          <w:rFonts w:hint="eastAsia" w:ascii="仿宋" w:hAnsi="仿宋" w:eastAsia="仿宋" w:cs="仿宋"/>
          <w:sz w:val="28"/>
          <w:szCs w:val="28"/>
          <w:lang w:val="en-US" w:eastAsia="zh-CN"/>
        </w:rPr>
        <w:t>，投标人应在截止时间前通过以下2种方式上传电子投标文件并邮寄至少3份纸质版投标资料</w:t>
      </w:r>
      <w:r>
        <w:rPr>
          <w:rFonts w:hint="eastAsia" w:ascii="仿宋" w:hAnsi="仿宋" w:eastAsia="仿宋" w:cs="仿宋"/>
          <w:kern w:val="44"/>
          <w:sz w:val="28"/>
          <w:szCs w:val="28"/>
          <w:u w:val="double"/>
          <w:lang w:val="en-US" w:eastAsia="zh-CN"/>
        </w:rPr>
        <w:t>（加盖公章并密封）</w:t>
      </w:r>
      <w:r>
        <w:rPr>
          <w:rFonts w:hint="eastAsia" w:ascii="仿宋" w:hAnsi="仿宋" w:eastAsia="仿宋" w:cs="仿宋"/>
          <w:sz w:val="28"/>
          <w:szCs w:val="28"/>
          <w:lang w:val="en-US" w:eastAsia="zh-CN"/>
        </w:rPr>
        <w:t>至采购人：</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1、线上：</w:t>
      </w:r>
      <w:r>
        <w:rPr>
          <w:rFonts w:hint="eastAsia" w:ascii="仿宋" w:hAnsi="仿宋" w:eastAsia="仿宋" w:cs="仿宋"/>
          <w:kern w:val="44"/>
          <w:sz w:val="28"/>
          <w:szCs w:val="28"/>
          <w:u w:val="double"/>
          <w:lang w:eastAsia="zh-CN"/>
        </w:rPr>
        <w:t>登录山东岱岳制盐有限公司官网（</w:t>
      </w:r>
      <w:r>
        <w:rPr>
          <w:rFonts w:hint="eastAsia" w:ascii="仿宋" w:hAnsi="仿宋" w:eastAsia="仿宋" w:cs="仿宋"/>
          <w:kern w:val="44"/>
          <w:sz w:val="28"/>
          <w:szCs w:val="28"/>
          <w:u w:val="double"/>
          <w:lang w:val="en-US" w:eastAsia="zh-CN"/>
        </w:rPr>
        <w:t>www.sddyzy.com</w:t>
      </w:r>
      <w:r>
        <w:rPr>
          <w:rFonts w:hint="eastAsia" w:ascii="仿宋" w:hAnsi="仿宋" w:eastAsia="仿宋" w:cs="仿宋"/>
          <w:kern w:val="44"/>
          <w:sz w:val="28"/>
          <w:szCs w:val="28"/>
          <w:u w:val="double"/>
          <w:lang w:eastAsia="zh-CN"/>
        </w:rPr>
        <w:t>）查看招标文件</w:t>
      </w:r>
      <w:r>
        <w:rPr>
          <w:rFonts w:hint="eastAsia" w:ascii="仿宋" w:hAnsi="仿宋" w:eastAsia="仿宋" w:cs="仿宋"/>
          <w:kern w:val="44"/>
          <w:sz w:val="28"/>
          <w:szCs w:val="28"/>
          <w:u w:val="double"/>
        </w:rPr>
        <w:t>；</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color w:val="auto"/>
          <w:sz w:val="28"/>
          <w:szCs w:val="28"/>
          <w:lang w:val="en-US" w:eastAsia="zh-CN"/>
        </w:rPr>
        <w:t>2、线下：</w:t>
      </w:r>
      <w:r>
        <w:rPr>
          <w:rFonts w:hint="eastAsia" w:ascii="仿宋" w:hAnsi="仿宋" w:eastAsia="仿宋" w:cs="仿宋"/>
          <w:color w:val="auto"/>
          <w:sz w:val="28"/>
          <w:szCs w:val="28"/>
          <w:lang w:val="en-US" w:eastAsia="zh-CN"/>
        </w:rPr>
        <w:fldChar w:fldCharType="begin"/>
      </w:r>
      <w:r>
        <w:rPr>
          <w:rFonts w:hint="eastAsia" w:ascii="仿宋" w:hAnsi="仿宋" w:eastAsia="仿宋" w:cs="仿宋"/>
          <w:color w:val="auto"/>
          <w:sz w:val="28"/>
          <w:szCs w:val="28"/>
          <w:lang w:val="en-US" w:eastAsia="zh-CN"/>
        </w:rPr>
        <w:instrText xml:space="preserve"> HYPERLINK "mailto:报专用邮箱dyzy009@163.com；" </w:instrText>
      </w:r>
      <w:r>
        <w:rPr>
          <w:rFonts w:hint="eastAsia" w:ascii="仿宋" w:hAnsi="仿宋" w:eastAsia="仿宋" w:cs="仿宋"/>
          <w:color w:val="auto"/>
          <w:sz w:val="28"/>
          <w:szCs w:val="28"/>
          <w:lang w:val="en-US" w:eastAsia="zh-CN"/>
        </w:rPr>
        <w:fldChar w:fldCharType="separate"/>
      </w:r>
      <w:r>
        <w:rPr>
          <w:rStyle w:val="14"/>
          <w:rFonts w:hint="eastAsia" w:ascii="仿宋" w:hAnsi="仿宋" w:eastAsia="仿宋" w:cs="仿宋"/>
          <w:color w:val="auto"/>
          <w:sz w:val="28"/>
          <w:szCs w:val="28"/>
          <w:lang w:val="en-US" w:eastAsia="zh-CN"/>
        </w:rPr>
        <w:t>报专用邮箱</w:t>
      </w:r>
      <w:r>
        <w:rPr>
          <w:rStyle w:val="14"/>
          <w:rFonts w:hint="eastAsia" w:ascii="仿宋" w:hAnsi="仿宋" w:eastAsia="仿宋" w:cs="仿宋"/>
          <w:color w:val="auto"/>
          <w:sz w:val="28"/>
          <w:szCs w:val="28"/>
          <w:lang w:eastAsia="zh-CN"/>
        </w:rPr>
        <w:t>dyzys</w:t>
      </w:r>
      <w:r>
        <w:rPr>
          <w:rStyle w:val="14"/>
          <w:rFonts w:hint="eastAsia" w:ascii="仿宋" w:hAnsi="仿宋" w:eastAsia="仿宋" w:cs="仿宋"/>
          <w:color w:val="auto"/>
          <w:sz w:val="28"/>
          <w:szCs w:val="28"/>
          <w:lang w:val="en-US" w:eastAsia="zh-CN"/>
        </w:rPr>
        <w:t>cb</w:t>
      </w:r>
      <w:r>
        <w:rPr>
          <w:rStyle w:val="14"/>
          <w:rFonts w:hint="eastAsia" w:ascii="仿宋" w:hAnsi="仿宋" w:eastAsia="仿宋" w:cs="仿宋"/>
          <w:color w:val="auto"/>
          <w:sz w:val="28"/>
          <w:szCs w:val="28"/>
          <w:lang w:eastAsia="zh-CN"/>
        </w:rPr>
        <w:t>@163.com</w:t>
      </w:r>
      <w:r>
        <w:rPr>
          <w:rStyle w:val="14"/>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lang w:val="en-US" w:eastAsia="zh-CN"/>
        </w:rPr>
        <w:fldChar w:fldCharType="end"/>
      </w:r>
    </w:p>
    <w:p>
      <w:pPr>
        <w:pStyle w:val="15"/>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3、纸质版投标资料邮寄地址及收件人：</w:t>
      </w:r>
    </w:p>
    <w:p>
      <w:pPr>
        <w:pStyle w:val="15"/>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邮寄地址：山东省泰安市岱岳区大汶口石膏工业园区山东岱岳制盐有限公司新厂，生产管理部；</w:t>
      </w:r>
    </w:p>
    <w:p>
      <w:pPr>
        <w:pStyle w:val="15"/>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收件人：张经理，13705382602。</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（二）逾期送达的投标文件，将予以拒收。</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六、开标时间及地点</w:t>
      </w:r>
    </w:p>
    <w:p>
      <w:pPr>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lang w:val="en-US" w:eastAsia="zh-CN"/>
        </w:rPr>
        <w:t>开标时间：</w:t>
      </w:r>
      <w:r>
        <w:rPr>
          <w:rFonts w:hint="eastAsia" w:ascii="仿宋" w:hAnsi="仿宋" w:eastAsia="仿宋" w:cs="仿宋"/>
          <w:color w:val="FF0000"/>
          <w:sz w:val="28"/>
          <w:szCs w:val="28"/>
        </w:rPr>
        <w:t>2</w:t>
      </w:r>
      <w:r>
        <w:rPr>
          <w:rFonts w:hint="eastAsia" w:ascii="仿宋" w:hAnsi="仿宋" w:eastAsia="仿宋" w:cs="仿宋"/>
          <w:color w:val="FF0000"/>
          <w:sz w:val="28"/>
          <w:szCs w:val="28"/>
          <w:lang w:val="en-US" w:eastAsia="zh-CN"/>
        </w:rPr>
        <w:t>023年11月15日上午9:00</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开标地点：技术中心2楼会议室</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七、 联系方式</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招标单位：山东</w:t>
      </w:r>
      <w:r>
        <w:rPr>
          <w:rFonts w:hint="eastAsia" w:ascii="仿宋" w:hAnsi="仿宋" w:eastAsia="仿宋" w:cs="仿宋"/>
          <w:sz w:val="28"/>
          <w:szCs w:val="28"/>
          <w:lang w:eastAsia="zh-CN"/>
        </w:rPr>
        <w:t>岱岳制盐</w:t>
      </w:r>
      <w:r>
        <w:rPr>
          <w:rFonts w:hint="eastAsia" w:ascii="仿宋" w:hAnsi="仿宋" w:eastAsia="仿宋" w:cs="仿宋"/>
          <w:sz w:val="28"/>
          <w:szCs w:val="28"/>
        </w:rPr>
        <w:t>有限公司</w:t>
      </w:r>
    </w:p>
    <w:p>
      <w:pPr>
        <w:widowControl/>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地    址：泰安市大汶口石膏工业园</w:t>
      </w:r>
      <w:r>
        <w:rPr>
          <w:rFonts w:hint="eastAsia" w:ascii="仿宋" w:hAnsi="仿宋" w:eastAsia="仿宋" w:cs="仿宋"/>
          <w:sz w:val="28"/>
          <w:szCs w:val="28"/>
          <w:lang w:eastAsia="zh-CN"/>
        </w:rPr>
        <w:t>区</w:t>
      </w:r>
    </w:p>
    <w:p>
      <w:pPr>
        <w:spacing w:line="360" w:lineRule="auto"/>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联 系 人：</w:t>
      </w:r>
      <w:r>
        <w:rPr>
          <w:rFonts w:hint="eastAsia" w:ascii="仿宋" w:hAnsi="仿宋" w:eastAsia="仿宋" w:cs="仿宋"/>
          <w:sz w:val="28"/>
          <w:szCs w:val="28"/>
          <w:lang w:val="en-US" w:eastAsia="zh-CN"/>
        </w:rPr>
        <w:t xml:space="preserve">赵经理          </w:t>
      </w:r>
      <w:r>
        <w:rPr>
          <w:rFonts w:hint="eastAsia" w:ascii="仿宋" w:hAnsi="仿宋" w:eastAsia="仿宋" w:cs="仿宋"/>
          <w:sz w:val="28"/>
          <w:szCs w:val="28"/>
          <w:lang w:eastAsia="zh-CN"/>
        </w:rPr>
        <w:t>张经理</w:t>
      </w:r>
    </w:p>
    <w:p>
      <w:pPr>
        <w:spacing w:line="360"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移动电话：</w:t>
      </w:r>
      <w:r>
        <w:rPr>
          <w:rFonts w:hint="eastAsia" w:ascii="仿宋" w:hAnsi="仿宋" w:eastAsia="仿宋" w:cs="仿宋"/>
          <w:sz w:val="28"/>
          <w:szCs w:val="28"/>
          <w:lang w:val="en-US" w:eastAsia="zh-CN"/>
        </w:rPr>
        <w:t>15621530171  13705382602</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电子邮箱：</w:t>
      </w:r>
      <w:r>
        <w:rPr>
          <w:rFonts w:hint="eastAsia" w:ascii="仿宋" w:hAnsi="仿宋" w:eastAsia="仿宋" w:cs="仿宋"/>
          <w:sz w:val="28"/>
          <w:szCs w:val="28"/>
          <w:lang w:val="en-US" w:eastAsia="zh-CN"/>
        </w:rPr>
        <w:t>aqscb8160819</w:t>
      </w:r>
      <w:r>
        <w:rPr>
          <w:rFonts w:hint="eastAsia" w:ascii="仿宋" w:hAnsi="仿宋" w:eastAsia="仿宋" w:cs="仿宋"/>
          <w:sz w:val="28"/>
          <w:szCs w:val="28"/>
        </w:rPr>
        <w:t>@</w:t>
      </w:r>
      <w:r>
        <w:rPr>
          <w:rFonts w:hint="eastAsia" w:ascii="仿宋" w:hAnsi="仿宋" w:eastAsia="仿宋" w:cs="仿宋"/>
          <w:sz w:val="28"/>
          <w:szCs w:val="28"/>
          <w:lang w:val="en-US" w:eastAsia="zh-CN"/>
        </w:rPr>
        <w:t>163</w:t>
      </w:r>
      <w:r>
        <w:rPr>
          <w:rFonts w:hint="eastAsia" w:ascii="仿宋" w:hAnsi="仿宋" w:eastAsia="仿宋" w:cs="仿宋"/>
          <w:sz w:val="28"/>
          <w:szCs w:val="28"/>
        </w:rPr>
        <w:t xml:space="preserve">.com </w:t>
      </w:r>
    </w:p>
    <w:p>
      <w:pPr>
        <w:ind w:firstLine="560" w:firstLineChars="200"/>
        <w:rPr>
          <w:rFonts w:hint="eastAsia" w:ascii="仿宋" w:hAnsi="仿宋" w:eastAsia="仿宋" w:cs="仿宋"/>
          <w:sz w:val="28"/>
          <w:szCs w:val="28"/>
          <w:highlight w:val="yellow"/>
          <w:lang w:eastAsia="zh-CN"/>
        </w:rPr>
      </w:pPr>
      <w:r>
        <w:rPr>
          <w:rFonts w:hint="eastAsia" w:ascii="仿宋" w:hAnsi="仿宋" w:eastAsia="仿宋" w:cs="仿宋"/>
          <w:sz w:val="28"/>
          <w:szCs w:val="28"/>
        </w:rPr>
        <w:t>纪检部门联系人：</w:t>
      </w:r>
      <w:r>
        <w:rPr>
          <w:rFonts w:hint="eastAsia" w:ascii="仿宋" w:hAnsi="仿宋" w:eastAsia="仿宋" w:cs="仿宋"/>
          <w:sz w:val="28"/>
          <w:szCs w:val="28"/>
          <w:lang w:eastAsia="zh-CN"/>
        </w:rPr>
        <w:t>纪检工作室</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联系电话：053</w:t>
      </w:r>
      <w:r>
        <w:rPr>
          <w:rFonts w:hint="eastAsia" w:ascii="仿宋" w:hAnsi="仿宋" w:eastAsia="仿宋" w:cs="仿宋"/>
          <w:sz w:val="28"/>
          <w:szCs w:val="28"/>
          <w:lang w:val="en-US" w:eastAsia="zh-CN"/>
        </w:rPr>
        <w:t>8</w:t>
      </w:r>
      <w:r>
        <w:rPr>
          <w:rFonts w:hint="eastAsia" w:ascii="仿宋" w:hAnsi="仿宋" w:eastAsia="仿宋" w:cs="仿宋"/>
          <w:sz w:val="28"/>
          <w:szCs w:val="28"/>
        </w:rPr>
        <w:t>-</w:t>
      </w:r>
      <w:r>
        <w:rPr>
          <w:rFonts w:hint="eastAsia" w:ascii="仿宋" w:hAnsi="仿宋" w:eastAsia="仿宋" w:cs="仿宋"/>
          <w:sz w:val="28"/>
          <w:szCs w:val="28"/>
          <w:lang w:val="en-US" w:eastAsia="zh-CN"/>
        </w:rPr>
        <w:t>8160666</w:t>
      </w:r>
    </w:p>
    <w:p>
      <w:pPr>
        <w:jc w:val="center"/>
        <w:rPr>
          <w:rFonts w:hint="eastAsia" w:ascii="仿宋" w:hAnsi="仿宋" w:eastAsia="仿宋" w:cs="仿宋"/>
          <w:kern w:val="44"/>
          <w:sz w:val="28"/>
          <w:szCs w:val="28"/>
        </w:rPr>
      </w:pPr>
    </w:p>
    <w:p>
      <w:pPr>
        <w:jc w:val="center"/>
        <w:rPr>
          <w:rFonts w:hint="eastAsia" w:ascii="仿宋" w:hAnsi="仿宋" w:eastAsia="仿宋" w:cs="仿宋"/>
          <w:kern w:val="44"/>
          <w:sz w:val="28"/>
          <w:szCs w:val="28"/>
        </w:rPr>
      </w:pPr>
    </w:p>
    <w:p>
      <w:pPr>
        <w:jc w:val="center"/>
        <w:rPr>
          <w:rFonts w:hint="eastAsia" w:ascii="仿宋" w:hAnsi="仿宋" w:eastAsia="仿宋" w:cs="仿宋"/>
          <w:kern w:val="44"/>
          <w:sz w:val="28"/>
          <w:szCs w:val="28"/>
        </w:rPr>
      </w:pPr>
    </w:p>
    <w:p>
      <w:pPr>
        <w:jc w:val="center"/>
        <w:rPr>
          <w:rFonts w:hint="eastAsia" w:ascii="仿宋" w:hAnsi="仿宋" w:eastAsia="仿宋" w:cs="仿宋"/>
          <w:kern w:val="44"/>
          <w:sz w:val="28"/>
          <w:szCs w:val="28"/>
        </w:rPr>
      </w:pPr>
    </w:p>
    <w:p>
      <w:pPr>
        <w:jc w:val="center"/>
        <w:rPr>
          <w:rFonts w:hint="eastAsia" w:ascii="仿宋" w:hAnsi="仿宋" w:eastAsia="仿宋" w:cs="仿宋"/>
          <w:kern w:val="44"/>
          <w:sz w:val="28"/>
          <w:szCs w:val="28"/>
        </w:rPr>
      </w:pPr>
    </w:p>
    <w:p>
      <w:pPr>
        <w:jc w:val="center"/>
        <w:rPr>
          <w:rFonts w:hint="eastAsia" w:ascii="仿宋" w:hAnsi="仿宋" w:eastAsia="仿宋" w:cs="仿宋"/>
          <w:kern w:val="44"/>
          <w:sz w:val="28"/>
          <w:szCs w:val="28"/>
        </w:rPr>
      </w:pPr>
      <w:r>
        <w:rPr>
          <w:rFonts w:hint="eastAsia" w:ascii="仿宋" w:hAnsi="仿宋" w:eastAsia="仿宋" w:cs="仿宋"/>
          <w:kern w:val="44"/>
          <w:sz w:val="28"/>
          <w:szCs w:val="28"/>
        </w:rPr>
        <w:t>第二章 投标人须知</w:t>
      </w:r>
    </w:p>
    <w:p>
      <w:pPr>
        <w:spacing w:line="400" w:lineRule="exact"/>
        <w:jc w:val="center"/>
        <w:rPr>
          <w:rFonts w:hint="eastAsia" w:ascii="仿宋" w:hAnsi="仿宋" w:eastAsia="仿宋" w:cs="仿宋"/>
          <w:kern w:val="44"/>
          <w:sz w:val="28"/>
          <w:szCs w:val="28"/>
        </w:rPr>
      </w:pP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一、要求说明</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（一）本招标文件仅适用于本次招标公告中所叙述的项目。</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（二）采用中标供应商评价机制，如中标单位在合同期内如出现重大质量、安全责任事故、劳资纠纷、不服从</w:t>
      </w:r>
      <w:r>
        <w:rPr>
          <w:rFonts w:hint="eastAsia" w:ascii="仿宋" w:hAnsi="仿宋" w:eastAsia="仿宋" w:cs="仿宋"/>
          <w:kern w:val="44"/>
          <w:sz w:val="28"/>
          <w:szCs w:val="28"/>
          <w:lang w:eastAsia="zh-CN"/>
        </w:rPr>
        <w:t>招标人</w:t>
      </w:r>
      <w:r>
        <w:rPr>
          <w:rFonts w:hint="eastAsia" w:ascii="仿宋" w:hAnsi="仿宋" w:eastAsia="仿宋" w:cs="仿宋"/>
          <w:kern w:val="44"/>
          <w:sz w:val="28"/>
          <w:szCs w:val="28"/>
        </w:rPr>
        <w:t>管理等情况，则该供应商将被列入不良行为记录名单，</w:t>
      </w:r>
      <w:r>
        <w:rPr>
          <w:rFonts w:hint="eastAsia" w:ascii="仿宋" w:hAnsi="仿宋" w:eastAsia="仿宋" w:cs="仿宋"/>
          <w:kern w:val="44"/>
          <w:sz w:val="28"/>
          <w:szCs w:val="28"/>
          <w:lang w:eastAsia="zh-CN"/>
        </w:rPr>
        <w:t>招标人</w:t>
      </w:r>
      <w:r>
        <w:rPr>
          <w:rFonts w:hint="eastAsia" w:ascii="仿宋" w:hAnsi="仿宋" w:eastAsia="仿宋" w:cs="仿宋"/>
          <w:kern w:val="44"/>
          <w:sz w:val="28"/>
          <w:szCs w:val="28"/>
        </w:rPr>
        <w:t>有权追究中标人的经济责任。</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（三）供应商必须未列入失信被执行人名单，如供应商列入失信被执行人名单，将按无效投标处理。</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四）无论基于何种原因，各项本应作拒绝处理的情形即便未被及时发现而使该供应商进入初审或其它后续程序，包括已经签订合同的情形，一旦在任何时间被发现存在上述情形，则采购人或采购代理机构均有权随时视情形决定是否取消该供应商的此前评议结果，或随时视情形决定是否对该投标予以拒绝，并有权决定采取相应的补救或纠正措施，供应商必须无条件服从。</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（五）供应商在办理与投标项目相关的所有事宜过程中，必须提供授权委托书、授权代表身份证及加盖公章的复印件，否则，有权不予受理。</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六）供应商提供的所有资料必须真实、有效。评标工作结束后，招标人有权视情况对投标单位提供资料的真实情况进行再次核查，投标单位必须无条件积极配合，如不配合，则视为存在造假行为。如投标单位存在造假行为，</w:t>
      </w:r>
      <w:r>
        <w:rPr>
          <w:rFonts w:hint="eastAsia" w:ascii="仿宋" w:hAnsi="仿宋" w:eastAsia="仿宋" w:cs="仿宋"/>
          <w:kern w:val="44"/>
          <w:sz w:val="28"/>
          <w:szCs w:val="28"/>
          <w:lang w:eastAsia="zh-CN"/>
        </w:rPr>
        <w:t>招标人</w:t>
      </w:r>
      <w:r>
        <w:rPr>
          <w:rFonts w:hint="eastAsia" w:ascii="仿宋" w:hAnsi="仿宋" w:eastAsia="仿宋" w:cs="仿宋"/>
          <w:kern w:val="44"/>
          <w:sz w:val="28"/>
          <w:szCs w:val="28"/>
        </w:rPr>
        <w:t>有权追究该投标单位的经济责任，</w:t>
      </w:r>
      <w:r>
        <w:rPr>
          <w:rFonts w:hint="eastAsia" w:ascii="仿宋" w:hAnsi="仿宋" w:eastAsia="仿宋" w:cs="仿宋"/>
          <w:kern w:val="44"/>
          <w:sz w:val="28"/>
          <w:szCs w:val="28"/>
          <w:lang w:eastAsia="zh-CN"/>
        </w:rPr>
        <w:t>招标人</w:t>
      </w:r>
      <w:r>
        <w:rPr>
          <w:rFonts w:hint="eastAsia" w:ascii="仿宋" w:hAnsi="仿宋" w:eastAsia="仿宋" w:cs="仿宋"/>
          <w:kern w:val="44"/>
          <w:sz w:val="28"/>
          <w:szCs w:val="28"/>
        </w:rPr>
        <w:t>有权将该投标单位列入不良行为记录名单，并按《中华人民共和国招标投标法》等相关法律规定处罚。</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（七）对于投标位不配合评标委员会要求提供相关证明、澄清，或者有企图影响招标结果等行为，或者存在采购人认定的其他恶意行为，</w:t>
      </w:r>
      <w:r>
        <w:rPr>
          <w:rFonts w:hint="eastAsia" w:ascii="仿宋" w:hAnsi="仿宋" w:eastAsia="仿宋" w:cs="仿宋"/>
          <w:kern w:val="44"/>
          <w:sz w:val="28"/>
          <w:szCs w:val="28"/>
          <w:lang w:eastAsia="zh-CN"/>
        </w:rPr>
        <w:t>招标人</w:t>
      </w:r>
      <w:r>
        <w:rPr>
          <w:rFonts w:hint="eastAsia" w:ascii="仿宋" w:hAnsi="仿宋" w:eastAsia="仿宋" w:cs="仿宋"/>
          <w:kern w:val="44"/>
          <w:sz w:val="28"/>
          <w:szCs w:val="28"/>
        </w:rPr>
        <w:t>有权追究该投标单位的经济责任，</w:t>
      </w:r>
      <w:r>
        <w:rPr>
          <w:rFonts w:hint="eastAsia" w:ascii="仿宋" w:hAnsi="仿宋" w:eastAsia="仿宋" w:cs="仿宋"/>
          <w:kern w:val="44"/>
          <w:sz w:val="28"/>
          <w:szCs w:val="28"/>
          <w:lang w:eastAsia="zh-CN"/>
        </w:rPr>
        <w:t>招标人</w:t>
      </w:r>
      <w:r>
        <w:rPr>
          <w:rFonts w:hint="eastAsia" w:ascii="仿宋" w:hAnsi="仿宋" w:eastAsia="仿宋" w:cs="仿宋"/>
          <w:kern w:val="44"/>
          <w:sz w:val="28"/>
          <w:szCs w:val="28"/>
        </w:rPr>
        <w:t>有权将该投标单位列入不良行为记录名单。</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lang w:eastAsia="zh-CN"/>
        </w:rPr>
        <w:t>其它</w:t>
      </w:r>
      <w:r>
        <w:rPr>
          <w:rFonts w:hint="eastAsia" w:ascii="仿宋" w:hAnsi="仿宋" w:eastAsia="仿宋" w:cs="仿宋"/>
          <w:kern w:val="44"/>
          <w:sz w:val="28"/>
          <w:szCs w:val="28"/>
        </w:rPr>
        <w:t>要求</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1、供应商应对其提供的所有货物和服务（包括货物和服务的所有内容），保证</w:t>
      </w:r>
      <w:r>
        <w:rPr>
          <w:rFonts w:hint="eastAsia" w:ascii="仿宋" w:hAnsi="仿宋" w:eastAsia="仿宋" w:cs="仿宋"/>
          <w:kern w:val="44"/>
          <w:sz w:val="28"/>
          <w:szCs w:val="28"/>
          <w:lang w:eastAsia="zh-CN"/>
        </w:rPr>
        <w:t>招标人</w:t>
      </w:r>
      <w:r>
        <w:rPr>
          <w:rFonts w:hint="eastAsia" w:ascii="仿宋" w:hAnsi="仿宋" w:eastAsia="仿宋" w:cs="仿宋"/>
          <w:kern w:val="44"/>
          <w:sz w:val="28"/>
          <w:szCs w:val="28"/>
        </w:rPr>
        <w:t>免受任何第三方主张任何权利。</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2、如第三人对合同标的物（货物和服务）主张权利的侵权损害赔偿请求，</w:t>
      </w:r>
      <w:r>
        <w:rPr>
          <w:rFonts w:hint="eastAsia" w:ascii="仿宋" w:hAnsi="仿宋" w:eastAsia="仿宋" w:cs="仿宋"/>
          <w:kern w:val="44"/>
          <w:sz w:val="28"/>
          <w:szCs w:val="28"/>
          <w:lang w:eastAsia="zh-CN"/>
        </w:rPr>
        <w:t>招标人</w:t>
      </w:r>
      <w:r>
        <w:rPr>
          <w:rFonts w:hint="eastAsia" w:ascii="仿宋" w:hAnsi="仿宋" w:eastAsia="仿宋" w:cs="仿宋"/>
          <w:kern w:val="44"/>
          <w:sz w:val="28"/>
          <w:szCs w:val="28"/>
        </w:rPr>
        <w:t>有权解除合同且不承担任何赔偿责任，并追究供应商的违约责任。</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3、在合同履行过程中，</w:t>
      </w:r>
      <w:r>
        <w:rPr>
          <w:rFonts w:hint="eastAsia" w:ascii="仿宋" w:hAnsi="仿宋" w:eastAsia="仿宋" w:cs="仿宋"/>
          <w:kern w:val="44"/>
          <w:sz w:val="28"/>
          <w:szCs w:val="28"/>
          <w:lang w:eastAsia="zh-CN"/>
        </w:rPr>
        <w:t>招标人</w:t>
      </w:r>
      <w:r>
        <w:rPr>
          <w:rFonts w:hint="eastAsia" w:ascii="仿宋" w:hAnsi="仿宋" w:eastAsia="仿宋" w:cs="仿宋"/>
          <w:kern w:val="44"/>
          <w:sz w:val="28"/>
          <w:szCs w:val="28"/>
        </w:rPr>
        <w:t>有确切证据证明第三方可能就合同标的物（货物和服务）主张权利的，</w:t>
      </w:r>
      <w:r>
        <w:rPr>
          <w:rFonts w:hint="eastAsia" w:ascii="仿宋" w:hAnsi="仿宋" w:eastAsia="仿宋" w:cs="仿宋"/>
          <w:kern w:val="44"/>
          <w:sz w:val="28"/>
          <w:szCs w:val="28"/>
          <w:lang w:eastAsia="zh-CN"/>
        </w:rPr>
        <w:t>招标人</w:t>
      </w:r>
      <w:r>
        <w:rPr>
          <w:rFonts w:hint="eastAsia" w:ascii="仿宋" w:hAnsi="仿宋" w:eastAsia="仿宋" w:cs="仿宋"/>
          <w:kern w:val="44"/>
          <w:sz w:val="28"/>
          <w:szCs w:val="28"/>
        </w:rPr>
        <w:t>有权中止支付相应的价款，并追究供应商的违约责任。</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4、因为第三方对</w:t>
      </w:r>
      <w:r>
        <w:rPr>
          <w:rFonts w:hint="eastAsia" w:ascii="仿宋" w:hAnsi="仿宋" w:eastAsia="仿宋" w:cs="仿宋"/>
          <w:kern w:val="44"/>
          <w:sz w:val="28"/>
          <w:szCs w:val="28"/>
          <w:lang w:eastAsia="zh-CN"/>
        </w:rPr>
        <w:t>招标人</w:t>
      </w:r>
      <w:r>
        <w:rPr>
          <w:rFonts w:hint="eastAsia" w:ascii="仿宋" w:hAnsi="仿宋" w:eastAsia="仿宋" w:cs="仿宋"/>
          <w:kern w:val="44"/>
          <w:sz w:val="28"/>
          <w:szCs w:val="28"/>
        </w:rPr>
        <w:t>主张权利而发生的纠纷，供应商应承担相应的法律责任和诉讼费用、律师费用、其他为解除纠纷而发生的费用以及由此给</w:t>
      </w:r>
      <w:r>
        <w:rPr>
          <w:rFonts w:hint="eastAsia" w:ascii="仿宋" w:hAnsi="仿宋" w:eastAsia="仿宋" w:cs="仿宋"/>
          <w:kern w:val="44"/>
          <w:sz w:val="28"/>
          <w:szCs w:val="28"/>
          <w:lang w:eastAsia="zh-CN"/>
        </w:rPr>
        <w:t>招标人</w:t>
      </w:r>
      <w:r>
        <w:rPr>
          <w:rFonts w:hint="eastAsia" w:ascii="仿宋" w:hAnsi="仿宋" w:eastAsia="仿宋" w:cs="仿宋"/>
          <w:kern w:val="44"/>
          <w:sz w:val="28"/>
          <w:szCs w:val="28"/>
        </w:rPr>
        <w:t>造成的所有经济损失。</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5、以上所指权利包括但不仅限于供应商所提供货物和服务的所有权、知识产权、债权、担保物权、用益物权等权利。</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6、质疑处理</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参加本项目采购活动的供应商对本次采购活动的询问、质疑和投诉，依照有关采购法律制度规定执行。供应商认为招标文件、评审过程、中标或者成交结果使自己的权益受到损害的，可以在知道或者应知其权益受到损害之日起7个工作日内，以书面形式向采购人提出质疑。供应商应在法定质疑期内一次性提出针对同一采购程序环节的质疑，否则不予受理。提出质疑的供应商应当是参与所质疑项目采购活动的供应商。潜在供应商已依法获取其可质疑的招标文件的，可以对该文件提出质疑，其未参加后续采购活动，不得对递交投标文件截止后的采购过程、采购结果提出质疑。对招标文件提出质疑的，应当在获取招标文件或者招标文件公告期限届满之日起7个工作日内提出。供应商提出质疑应当提交质疑函和必要的证明材料，应采取法定代表人、主要负责人，或者其授权代表直接送达纸质版方式提交质疑函。质疑函应当包括下列内容：</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（1）供应商的姓名或者名称、地址、邮编、联系人及联系电话；</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（2）质疑项目的名称、编号；</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（3）具体、明确的质疑事项和与质疑事项相关的请求；</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（4）事实依据；</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（5）必要的法律依据；</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（6）提出质疑的日期。</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供应商为自然人的，应当由本人签字；供应商为法人或者其他组织的，应当由法定代表人、主要负责人，或者其授权代表签字或者盖章，并加盖公章。采购人、采购代理机构在收到质疑函后7个工作日内作出答复，并以书面形式通知质疑供应商和其他有关供应商。接受质疑函联系人、电话及地址详见招标公告。</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二、虚假材料说明</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供应商必须对其投标文件中提供各种资料、说明的真实性负责。在评标过程中，如果发现供应商有为谋取中标而提供虚假资料欺骗采购人和评委的行为，将取消其中标资格，</w:t>
      </w:r>
      <w:r>
        <w:rPr>
          <w:rFonts w:hint="eastAsia" w:ascii="仿宋" w:hAnsi="仿宋" w:eastAsia="仿宋" w:cs="仿宋"/>
          <w:kern w:val="44"/>
          <w:sz w:val="28"/>
          <w:szCs w:val="28"/>
          <w:lang w:eastAsia="zh-CN"/>
        </w:rPr>
        <w:t>如有则</w:t>
      </w:r>
      <w:r>
        <w:rPr>
          <w:rFonts w:hint="eastAsia" w:ascii="仿宋" w:hAnsi="仿宋" w:eastAsia="仿宋" w:cs="仿宋"/>
          <w:kern w:val="44"/>
          <w:sz w:val="28"/>
          <w:szCs w:val="28"/>
        </w:rPr>
        <w:t>其投标保证金将不予退还。定标后，采购人有可能对中标人投标文件中的承诺内容和证明材料进行核查，中标人应无条件配合采购人的核查工作，不得托词拒绝核查或隐瞒真实情况。若在中标后签订合同时，发现中标人是提供虚假材料谋取中标等违法违规行为，采购人将取消其中标人资格，其投标保证金将不予退还，给采购人造成损失的，还必须进行赔偿并负相关责任。</w:t>
      </w:r>
    </w:p>
    <w:p>
      <w:pPr>
        <w:ind w:firstLine="560" w:firstLineChars="200"/>
        <w:jc w:val="left"/>
        <w:rPr>
          <w:rFonts w:hint="eastAsia" w:ascii="仿宋" w:hAnsi="仿宋" w:eastAsia="仿宋" w:cs="仿宋"/>
          <w:kern w:val="44"/>
          <w:sz w:val="28"/>
          <w:szCs w:val="28"/>
        </w:rPr>
      </w:pPr>
      <w:r>
        <w:rPr>
          <w:rFonts w:hint="eastAsia" w:ascii="仿宋" w:hAnsi="仿宋" w:eastAsia="仿宋" w:cs="仿宋"/>
          <w:kern w:val="44"/>
          <w:sz w:val="28"/>
          <w:szCs w:val="28"/>
        </w:rPr>
        <w:t>三、定义</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（一）“采购人”系指：山东</w:t>
      </w:r>
      <w:r>
        <w:rPr>
          <w:rFonts w:hint="eastAsia" w:ascii="仿宋" w:hAnsi="仿宋" w:eastAsia="仿宋" w:cs="仿宋"/>
          <w:kern w:val="44"/>
          <w:sz w:val="28"/>
          <w:szCs w:val="28"/>
          <w:lang w:eastAsia="zh-CN"/>
        </w:rPr>
        <w:t>岱岳制盐</w:t>
      </w:r>
      <w:r>
        <w:rPr>
          <w:rFonts w:hint="eastAsia" w:ascii="仿宋" w:hAnsi="仿宋" w:eastAsia="仿宋" w:cs="仿宋"/>
          <w:kern w:val="44"/>
          <w:sz w:val="28"/>
          <w:szCs w:val="28"/>
        </w:rPr>
        <w:t>有限公司。</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（二）“供应商”系指：向采购人获取招标文件并提交投标文件的企业。</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（三）“中标人”系指：由评标委员会对供应商综合评审后，评选出的对招标文件</w:t>
      </w:r>
      <w:r>
        <w:rPr>
          <w:rFonts w:hint="eastAsia" w:ascii="仿宋" w:hAnsi="仿宋" w:eastAsia="仿宋" w:cs="仿宋"/>
          <w:kern w:val="44"/>
          <w:sz w:val="28"/>
          <w:szCs w:val="28"/>
          <w:lang w:eastAsia="zh-CN"/>
        </w:rPr>
        <w:t>作出</w:t>
      </w:r>
      <w:r>
        <w:rPr>
          <w:rFonts w:hint="eastAsia" w:ascii="仿宋" w:hAnsi="仿宋" w:eastAsia="仿宋" w:cs="仿宋"/>
          <w:kern w:val="44"/>
          <w:sz w:val="28"/>
          <w:szCs w:val="28"/>
        </w:rPr>
        <w:t>实质性响应、综合竞争实力最优、报价合理、有能力为采购人提供货物和服务，遵守投标文件的承诺，赢得供货</w:t>
      </w:r>
      <w:r>
        <w:rPr>
          <w:rFonts w:hint="eastAsia" w:ascii="仿宋" w:hAnsi="仿宋" w:eastAsia="仿宋" w:cs="仿宋"/>
          <w:kern w:val="44"/>
          <w:sz w:val="28"/>
          <w:szCs w:val="28"/>
          <w:lang w:eastAsia="zh-CN"/>
        </w:rPr>
        <w:t>（服务）</w:t>
      </w:r>
      <w:r>
        <w:rPr>
          <w:rFonts w:hint="eastAsia" w:ascii="仿宋" w:hAnsi="仿宋" w:eastAsia="仿宋" w:cs="仿宋"/>
          <w:kern w:val="44"/>
          <w:sz w:val="28"/>
          <w:szCs w:val="28"/>
        </w:rPr>
        <w:t>合同的供应商。</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四、招标文件说明</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（一）招标文件的组成</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1、招标公告</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2、投标人须知</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3、评标办法</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（二）招标文件的修改</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采购人对招标文件必须修改的内容，须在招标文件要求提交投标文件截止时间2日前，招标文件的澄清或变更将</w:t>
      </w:r>
      <w:r>
        <w:rPr>
          <w:rFonts w:hint="eastAsia" w:ascii="仿宋" w:hAnsi="仿宋" w:eastAsia="仿宋" w:cs="仿宋"/>
          <w:kern w:val="44"/>
          <w:sz w:val="28"/>
          <w:szCs w:val="28"/>
          <w:lang w:eastAsia="zh-CN"/>
        </w:rPr>
        <w:t>隆道云</w:t>
      </w:r>
      <w:r>
        <w:rPr>
          <w:rFonts w:hint="eastAsia" w:ascii="仿宋" w:hAnsi="仿宋" w:eastAsia="仿宋" w:cs="仿宋"/>
          <w:kern w:val="44"/>
          <w:sz w:val="28"/>
          <w:szCs w:val="28"/>
        </w:rPr>
        <w:t>招标采购平台发布，但不指明澄清问题的来源，澄清或变更文件将作为招标文件的组成部分，对所有供应商均具有约束力。供应商应及时关注以上网站信息，如若因查看不及时或自身原因所造成的投标文件编制不响应招标文件要求，后果自负。</w:t>
      </w:r>
    </w:p>
    <w:p>
      <w:pPr>
        <w:ind w:firstLine="560" w:firstLineChars="200"/>
        <w:rPr>
          <w:rFonts w:hint="eastAsia" w:ascii="仿宋" w:hAnsi="仿宋" w:eastAsia="仿宋" w:cs="仿宋"/>
          <w:kern w:val="44"/>
          <w:sz w:val="28"/>
          <w:szCs w:val="28"/>
          <w:u w:val="double"/>
        </w:rPr>
      </w:pPr>
      <w:r>
        <w:rPr>
          <w:rFonts w:hint="eastAsia" w:ascii="仿宋" w:hAnsi="仿宋" w:eastAsia="仿宋" w:cs="仿宋"/>
          <w:kern w:val="44"/>
          <w:sz w:val="28"/>
          <w:szCs w:val="28"/>
          <w:u w:val="double"/>
        </w:rPr>
        <w:t>五、投标文件的编写</w:t>
      </w:r>
    </w:p>
    <w:p>
      <w:pPr>
        <w:ind w:firstLine="560" w:firstLineChars="200"/>
        <w:rPr>
          <w:rFonts w:hint="eastAsia" w:ascii="仿宋" w:hAnsi="仿宋" w:eastAsia="仿宋" w:cs="仿宋"/>
          <w:kern w:val="44"/>
          <w:sz w:val="28"/>
          <w:szCs w:val="28"/>
          <w:u w:val="double"/>
        </w:rPr>
      </w:pPr>
      <w:r>
        <w:rPr>
          <w:rFonts w:hint="eastAsia" w:ascii="仿宋" w:hAnsi="仿宋" w:eastAsia="仿宋" w:cs="仿宋"/>
          <w:kern w:val="44"/>
          <w:sz w:val="28"/>
          <w:szCs w:val="28"/>
          <w:u w:val="double"/>
        </w:rPr>
        <w:t>供应商应仔细阅读招标文件的所有内容，按招标文件的要求提供投标文件，并保证所提供的全部资料的真实性、准确性及完整性，以使其投标对招标文件</w:t>
      </w:r>
      <w:r>
        <w:rPr>
          <w:rFonts w:hint="eastAsia" w:ascii="仿宋" w:hAnsi="仿宋" w:eastAsia="仿宋" w:cs="仿宋"/>
          <w:kern w:val="44"/>
          <w:sz w:val="28"/>
          <w:szCs w:val="28"/>
          <w:u w:val="double"/>
          <w:lang w:eastAsia="zh-CN"/>
        </w:rPr>
        <w:t>作出</w:t>
      </w:r>
      <w:r>
        <w:rPr>
          <w:rFonts w:hint="eastAsia" w:ascii="仿宋" w:hAnsi="仿宋" w:eastAsia="仿宋" w:cs="仿宋"/>
          <w:kern w:val="44"/>
          <w:sz w:val="28"/>
          <w:szCs w:val="28"/>
          <w:u w:val="double"/>
        </w:rPr>
        <w:t>实质性响应。否则，其投标有可能被拒绝。</w:t>
      </w:r>
    </w:p>
    <w:p>
      <w:pPr>
        <w:ind w:firstLine="560" w:firstLineChars="200"/>
        <w:rPr>
          <w:rFonts w:hint="eastAsia" w:ascii="仿宋" w:hAnsi="仿宋" w:eastAsia="仿宋" w:cs="仿宋"/>
          <w:kern w:val="44"/>
          <w:sz w:val="28"/>
          <w:szCs w:val="28"/>
          <w:u w:val="none"/>
          <w:lang w:val="zh-CN" w:eastAsia="zh-CN"/>
        </w:rPr>
      </w:pPr>
      <w:bookmarkStart w:id="1" w:name="_Toc5285"/>
      <w:r>
        <w:rPr>
          <w:rFonts w:hint="eastAsia" w:ascii="仿宋" w:hAnsi="仿宋" w:eastAsia="仿宋" w:cs="仿宋"/>
          <w:kern w:val="44"/>
          <w:sz w:val="28"/>
          <w:szCs w:val="28"/>
          <w:u w:val="none"/>
          <w:lang w:val="en-US" w:eastAsia="zh-CN"/>
        </w:rPr>
        <w:t>（一）</w:t>
      </w:r>
      <w:r>
        <w:rPr>
          <w:rFonts w:hint="eastAsia" w:ascii="仿宋" w:hAnsi="仿宋" w:eastAsia="仿宋" w:cs="仿宋"/>
          <w:kern w:val="44"/>
          <w:sz w:val="28"/>
          <w:szCs w:val="28"/>
          <w:u w:val="none"/>
          <w:lang w:val="zh-CN" w:eastAsia="zh-CN"/>
        </w:rPr>
        <w:t>报价文件的组成</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zh-CN" w:eastAsia="zh-CN"/>
        </w:rPr>
        <w:t>1.1 报价文件包含资格证明文件、技术部分和商务部分。</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zh-CN" w:eastAsia="zh-CN"/>
        </w:rPr>
        <w:t>1.2 报价文件至少应包括下列内容：</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zh-CN" w:eastAsia="zh-CN"/>
        </w:rPr>
        <w:t>1.2.1资格证明文件</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zh-CN" w:eastAsia="zh-CN"/>
        </w:rPr>
        <w:t>（1）供应商简况表；</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zh-CN" w:eastAsia="zh-CN"/>
        </w:rPr>
        <w:t>（2）营业执照副本复印件（加盖公章）；</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zh-CN" w:eastAsia="zh-CN"/>
        </w:rPr>
        <w:t>（3）</w:t>
      </w:r>
      <w:r>
        <w:rPr>
          <w:rFonts w:hint="eastAsia" w:ascii="仿宋" w:hAnsi="仿宋" w:eastAsia="仿宋" w:cs="仿宋"/>
          <w:kern w:val="44"/>
          <w:sz w:val="28"/>
          <w:szCs w:val="28"/>
          <w:u w:val="double"/>
          <w:lang w:val="en-US" w:eastAsia="zh-CN"/>
        </w:rPr>
        <w:t>有效的资质证书</w:t>
      </w:r>
      <w:r>
        <w:rPr>
          <w:rFonts w:hint="eastAsia" w:ascii="仿宋" w:hAnsi="仿宋" w:eastAsia="仿宋" w:cs="仿宋"/>
          <w:kern w:val="44"/>
          <w:sz w:val="28"/>
          <w:szCs w:val="28"/>
          <w:u w:val="double"/>
          <w:lang w:val="zh-CN" w:eastAsia="zh-CN"/>
        </w:rPr>
        <w:t>（复印件加盖公章）；</w:t>
      </w:r>
    </w:p>
    <w:p>
      <w:pPr>
        <w:ind w:firstLine="560" w:firstLineChars="200"/>
        <w:rPr>
          <w:rFonts w:hint="eastAsia" w:ascii="仿宋" w:hAnsi="仿宋" w:eastAsia="仿宋" w:cs="仿宋"/>
          <w:kern w:val="44"/>
          <w:sz w:val="28"/>
          <w:szCs w:val="28"/>
          <w:u w:val="double"/>
          <w:lang w:val="en-US" w:eastAsia="zh-CN"/>
        </w:rPr>
      </w:pPr>
      <w:r>
        <w:rPr>
          <w:rFonts w:hint="eastAsia" w:ascii="仿宋" w:hAnsi="仿宋" w:eastAsia="仿宋" w:cs="仿宋"/>
          <w:kern w:val="44"/>
          <w:sz w:val="28"/>
          <w:szCs w:val="28"/>
          <w:u w:val="double"/>
          <w:lang w:val="zh-CN" w:eastAsia="zh-CN"/>
        </w:rPr>
        <w:t>（</w:t>
      </w:r>
      <w:r>
        <w:rPr>
          <w:rFonts w:hint="eastAsia" w:ascii="仿宋" w:hAnsi="仿宋" w:eastAsia="仿宋" w:cs="仿宋"/>
          <w:kern w:val="44"/>
          <w:sz w:val="28"/>
          <w:szCs w:val="28"/>
          <w:u w:val="double"/>
          <w:lang w:val="en-US" w:eastAsia="zh-CN"/>
        </w:rPr>
        <w:t>4</w:t>
      </w:r>
      <w:r>
        <w:rPr>
          <w:rFonts w:hint="eastAsia" w:ascii="仿宋" w:hAnsi="仿宋" w:eastAsia="仿宋" w:cs="仿宋"/>
          <w:kern w:val="44"/>
          <w:sz w:val="28"/>
          <w:szCs w:val="28"/>
          <w:u w:val="double"/>
          <w:lang w:val="zh-CN" w:eastAsia="zh-CN"/>
        </w:rPr>
        <w:t>）</w:t>
      </w:r>
      <w:r>
        <w:rPr>
          <w:rFonts w:hint="eastAsia" w:ascii="仿宋" w:hAnsi="仿宋" w:eastAsia="仿宋" w:cs="仿宋"/>
          <w:kern w:val="44"/>
          <w:sz w:val="28"/>
          <w:szCs w:val="28"/>
          <w:u w:val="double"/>
          <w:lang w:val="en-US" w:eastAsia="zh-CN"/>
        </w:rPr>
        <w:t>近2年以来的类似工程业绩合同至少2份（时间以合同签订时间为准）；</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en-US" w:eastAsia="zh-CN"/>
        </w:rPr>
        <w:t>（5）</w:t>
      </w:r>
      <w:r>
        <w:rPr>
          <w:rFonts w:hint="eastAsia" w:ascii="仿宋" w:hAnsi="仿宋" w:eastAsia="仿宋" w:cs="仿宋"/>
          <w:kern w:val="44"/>
          <w:sz w:val="28"/>
          <w:szCs w:val="28"/>
          <w:u w:val="double"/>
          <w:lang w:val="zh-CN" w:eastAsia="zh-CN"/>
        </w:rPr>
        <w:t>法定代表人授权委托书。必须包含授权代理人签字，否则无效；</w:t>
      </w:r>
    </w:p>
    <w:p>
      <w:pPr>
        <w:pStyle w:val="15"/>
        <w:rPr>
          <w:rFonts w:hint="eastAsia" w:ascii="仿宋" w:hAnsi="仿宋" w:eastAsia="仿宋" w:cs="仿宋"/>
          <w:sz w:val="28"/>
          <w:szCs w:val="28"/>
          <w:lang w:val="en-US" w:eastAsia="zh-CN"/>
        </w:rPr>
      </w:pPr>
      <w:r>
        <w:rPr>
          <w:rFonts w:hint="eastAsia" w:ascii="仿宋" w:hAnsi="仿宋" w:eastAsia="仿宋" w:cs="仿宋"/>
          <w:kern w:val="44"/>
          <w:sz w:val="28"/>
          <w:szCs w:val="28"/>
          <w:u w:val="double"/>
          <w:lang w:val="en-US" w:eastAsia="zh-CN"/>
        </w:rPr>
        <w:t>（6）</w:t>
      </w:r>
      <w:r>
        <w:rPr>
          <w:rFonts w:hint="eastAsia" w:ascii="仿宋" w:hAnsi="仿宋" w:eastAsia="仿宋" w:cs="仿宋"/>
          <w:kern w:val="44"/>
          <w:sz w:val="28"/>
          <w:szCs w:val="28"/>
          <w:u w:val="double"/>
          <w:lang w:val="zh-CN" w:eastAsia="zh-CN"/>
        </w:rPr>
        <w:t>有效的安全生产许可证；</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zh-CN" w:eastAsia="zh-CN"/>
        </w:rPr>
        <w:t>1.2.2商务部分</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zh-CN" w:eastAsia="zh-CN"/>
        </w:rPr>
        <w:t>（1）法定代表人或授权代理人签署的投标函；</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zh-CN" w:eastAsia="zh-CN"/>
        </w:rPr>
        <w:t>（2）报价单（必须加盖公章，否则报价无效）；</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zh-CN" w:eastAsia="zh-CN"/>
        </w:rPr>
        <w:t>（</w:t>
      </w:r>
      <w:r>
        <w:rPr>
          <w:rFonts w:hint="eastAsia" w:ascii="仿宋" w:hAnsi="仿宋" w:eastAsia="仿宋" w:cs="仿宋"/>
          <w:kern w:val="44"/>
          <w:sz w:val="28"/>
          <w:szCs w:val="28"/>
          <w:u w:val="double"/>
          <w:lang w:val="en-US" w:eastAsia="zh-CN"/>
        </w:rPr>
        <w:t>3</w:t>
      </w:r>
      <w:r>
        <w:rPr>
          <w:rFonts w:hint="eastAsia" w:ascii="仿宋" w:hAnsi="仿宋" w:eastAsia="仿宋" w:cs="仿宋"/>
          <w:kern w:val="44"/>
          <w:sz w:val="28"/>
          <w:szCs w:val="28"/>
          <w:u w:val="double"/>
          <w:lang w:val="zh-CN" w:eastAsia="zh-CN"/>
        </w:rPr>
        <w:t>）供应商认为有必要提供的其他资料。</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zh-CN" w:eastAsia="zh-CN"/>
        </w:rPr>
        <w:t>1.2.3技术部分</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zh-CN" w:eastAsia="zh-CN"/>
        </w:rPr>
        <w:t>（1）</w:t>
      </w:r>
      <w:r>
        <w:rPr>
          <w:rFonts w:hint="eastAsia" w:ascii="仿宋" w:hAnsi="仿宋" w:eastAsia="仿宋" w:cs="仿宋"/>
          <w:sz w:val="28"/>
          <w:szCs w:val="28"/>
          <w:lang w:val="en-US" w:eastAsia="zh-CN"/>
        </w:rPr>
        <w:t>分布式光伏发电站</w:t>
      </w:r>
      <w:r>
        <w:rPr>
          <w:rFonts w:hint="eastAsia" w:ascii="仿宋" w:hAnsi="仿宋" w:eastAsia="仿宋" w:cs="仿宋"/>
          <w:kern w:val="44"/>
          <w:sz w:val="28"/>
          <w:szCs w:val="28"/>
          <w:u w:val="double"/>
          <w:lang w:val="zh-CN" w:eastAsia="zh-CN"/>
        </w:rPr>
        <w:t>初步实施方案：包括但不限于房屋屋顶占地利用方案等。</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zh-CN" w:eastAsia="zh-CN"/>
        </w:rPr>
        <w:t xml:space="preserve">（2）施工、运营安全、环保方案：包括但不限于钢构、屋顶加固措施初步方案、光伏组件、电缆、充电设备等的配置方案、任何可能的紧急情况的处理措施、预案以及抵抗风险（包括工程施工过程中可能遇到的各种风险）的措施、现场环境保护措施、污染处理措施等； </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zh-CN" w:eastAsia="zh-CN"/>
        </w:rPr>
        <w:t>（3）总进度计划及保证措施：包括但不限于横道图、办理手续计划、方案、图纸设计提供、施工及其他保证措施等；</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zh-CN" w:eastAsia="zh-CN"/>
        </w:rPr>
        <w:t>（</w:t>
      </w:r>
      <w:r>
        <w:rPr>
          <w:rFonts w:hint="eastAsia" w:ascii="仿宋" w:hAnsi="仿宋" w:eastAsia="仿宋" w:cs="仿宋"/>
          <w:kern w:val="44"/>
          <w:sz w:val="28"/>
          <w:szCs w:val="28"/>
          <w:u w:val="double"/>
          <w:lang w:val="en-US" w:eastAsia="zh-CN"/>
        </w:rPr>
        <w:t>4</w:t>
      </w:r>
      <w:r>
        <w:rPr>
          <w:rFonts w:hint="eastAsia" w:ascii="仿宋" w:hAnsi="仿宋" w:eastAsia="仿宋" w:cs="仿宋"/>
          <w:kern w:val="44"/>
          <w:sz w:val="28"/>
          <w:szCs w:val="28"/>
          <w:u w:val="double"/>
          <w:lang w:val="zh-CN" w:eastAsia="zh-CN"/>
        </w:rPr>
        <w:t>）评标委员会将根据提供的上述方案进行评比打分；</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zh-CN" w:eastAsia="zh-CN"/>
        </w:rPr>
        <w:t>（</w:t>
      </w:r>
      <w:r>
        <w:rPr>
          <w:rFonts w:hint="eastAsia" w:ascii="仿宋" w:hAnsi="仿宋" w:eastAsia="仿宋" w:cs="仿宋"/>
          <w:kern w:val="44"/>
          <w:sz w:val="28"/>
          <w:szCs w:val="28"/>
          <w:u w:val="double"/>
          <w:lang w:val="en-US" w:eastAsia="zh-CN"/>
        </w:rPr>
        <w:t>5</w:t>
      </w:r>
      <w:r>
        <w:rPr>
          <w:rFonts w:hint="eastAsia" w:ascii="仿宋" w:hAnsi="仿宋" w:eastAsia="仿宋" w:cs="仿宋"/>
          <w:kern w:val="44"/>
          <w:sz w:val="28"/>
          <w:szCs w:val="28"/>
          <w:u w:val="double"/>
          <w:lang w:val="zh-CN" w:eastAsia="zh-CN"/>
        </w:rPr>
        <w:t>）供应商认为有必要提供的其他资料。</w:t>
      </w:r>
    </w:p>
    <w:p>
      <w:pPr>
        <w:ind w:firstLine="560" w:firstLineChars="200"/>
        <w:rPr>
          <w:rFonts w:hint="eastAsia" w:ascii="仿宋" w:hAnsi="仿宋" w:eastAsia="仿宋" w:cs="仿宋"/>
          <w:kern w:val="44"/>
          <w:sz w:val="28"/>
          <w:szCs w:val="28"/>
          <w:u w:val="double"/>
          <w:lang w:val="zh-CN" w:eastAsia="zh-CN"/>
        </w:rPr>
      </w:pPr>
      <w:r>
        <w:rPr>
          <w:rFonts w:hint="eastAsia" w:ascii="仿宋" w:hAnsi="仿宋" w:eastAsia="仿宋" w:cs="仿宋"/>
          <w:kern w:val="44"/>
          <w:sz w:val="28"/>
          <w:szCs w:val="28"/>
          <w:u w:val="double"/>
          <w:lang w:val="zh-CN" w:eastAsia="zh-CN"/>
        </w:rPr>
        <w:t>备注：格式自拟，请供应商按照相关要求自行编制；</w:t>
      </w:r>
    </w:p>
    <w:p>
      <w:pPr>
        <w:ind w:firstLine="560" w:firstLineChars="200"/>
        <w:rPr>
          <w:rFonts w:hint="eastAsia" w:ascii="仿宋" w:hAnsi="仿宋" w:eastAsia="仿宋" w:cs="仿宋"/>
          <w:kern w:val="44"/>
          <w:sz w:val="28"/>
          <w:szCs w:val="28"/>
          <w:u w:val="double"/>
          <w:lang w:val="en-US" w:eastAsia="zh-CN"/>
        </w:rPr>
      </w:pPr>
      <w:r>
        <w:rPr>
          <w:rFonts w:hint="eastAsia" w:ascii="仿宋" w:hAnsi="仿宋" w:eastAsia="仿宋" w:cs="仿宋"/>
          <w:kern w:val="44"/>
          <w:sz w:val="28"/>
          <w:szCs w:val="28"/>
          <w:u w:val="double"/>
          <w:lang w:val="zh-CN" w:eastAsia="zh-CN"/>
        </w:rPr>
        <w:t>1.3 报价文件的内容必须属实，任何虚假和不实的行为都会被认为是对</w:t>
      </w:r>
      <w:r>
        <w:rPr>
          <w:rFonts w:hint="eastAsia" w:ascii="仿宋" w:hAnsi="仿宋" w:eastAsia="仿宋" w:cs="仿宋"/>
          <w:kern w:val="44"/>
          <w:sz w:val="28"/>
          <w:szCs w:val="28"/>
          <w:u w:val="double"/>
          <w:lang w:val="en-US" w:eastAsia="zh-CN"/>
        </w:rPr>
        <w:t>报价</w:t>
      </w:r>
      <w:r>
        <w:rPr>
          <w:rFonts w:hint="eastAsia" w:ascii="仿宋" w:hAnsi="仿宋" w:eastAsia="仿宋" w:cs="仿宋"/>
          <w:kern w:val="44"/>
          <w:sz w:val="28"/>
          <w:szCs w:val="28"/>
          <w:u w:val="double"/>
          <w:lang w:val="zh-CN" w:eastAsia="zh-CN"/>
        </w:rPr>
        <w:t>文件的不响应。</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w:t>
      </w:r>
      <w:r>
        <w:rPr>
          <w:rFonts w:hint="eastAsia" w:ascii="仿宋" w:hAnsi="仿宋" w:eastAsia="仿宋" w:cs="仿宋"/>
          <w:kern w:val="44"/>
          <w:sz w:val="28"/>
          <w:szCs w:val="28"/>
          <w:lang w:eastAsia="zh-CN"/>
        </w:rPr>
        <w:t>二</w:t>
      </w:r>
      <w:r>
        <w:rPr>
          <w:rFonts w:hint="eastAsia" w:ascii="仿宋" w:hAnsi="仿宋" w:eastAsia="仿宋" w:cs="仿宋"/>
          <w:kern w:val="44"/>
          <w:sz w:val="28"/>
          <w:szCs w:val="28"/>
        </w:rPr>
        <w:t>）投标文件的版式</w:t>
      </w:r>
    </w:p>
    <w:p>
      <w:pPr>
        <w:ind w:firstLine="560" w:firstLineChars="200"/>
        <w:rPr>
          <w:rFonts w:hint="eastAsia" w:ascii="仿宋" w:hAnsi="仿宋" w:eastAsia="仿宋" w:cs="仿宋"/>
          <w:kern w:val="44"/>
          <w:sz w:val="28"/>
          <w:szCs w:val="28"/>
          <w:u w:val="double"/>
        </w:rPr>
      </w:pPr>
      <w:r>
        <w:rPr>
          <w:rFonts w:hint="eastAsia" w:ascii="仿宋" w:hAnsi="仿宋" w:eastAsia="仿宋" w:cs="仿宋"/>
          <w:kern w:val="44"/>
          <w:sz w:val="28"/>
          <w:szCs w:val="28"/>
          <w:u w:val="double"/>
        </w:rPr>
        <w:t>供应商必须将投标文件按顺序合并于一个PDF文件或word文件中，编制目录索引，并插入页码，封皮需</w:t>
      </w:r>
      <w:r>
        <w:rPr>
          <w:rFonts w:hint="eastAsia" w:ascii="仿宋" w:hAnsi="仿宋" w:eastAsia="仿宋" w:cs="仿宋"/>
          <w:kern w:val="44"/>
          <w:sz w:val="28"/>
          <w:szCs w:val="28"/>
          <w:u w:val="double"/>
          <w:lang w:eastAsia="zh-CN"/>
        </w:rPr>
        <w:t>法人代表签字</w:t>
      </w:r>
      <w:r>
        <w:rPr>
          <w:rFonts w:hint="eastAsia" w:ascii="仿宋" w:hAnsi="仿宋" w:eastAsia="仿宋" w:cs="仿宋"/>
          <w:kern w:val="44"/>
          <w:sz w:val="28"/>
          <w:szCs w:val="28"/>
          <w:u w:val="double"/>
        </w:rPr>
        <w:t>并盖章。</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w:t>
      </w:r>
      <w:r>
        <w:rPr>
          <w:rFonts w:hint="eastAsia" w:ascii="仿宋" w:hAnsi="仿宋" w:eastAsia="仿宋" w:cs="仿宋"/>
          <w:kern w:val="44"/>
          <w:sz w:val="28"/>
          <w:szCs w:val="28"/>
          <w:lang w:eastAsia="zh-CN"/>
        </w:rPr>
        <w:t>三</w:t>
      </w:r>
      <w:r>
        <w:rPr>
          <w:rFonts w:hint="eastAsia" w:ascii="仿宋" w:hAnsi="仿宋" w:eastAsia="仿宋" w:cs="仿宋"/>
          <w:kern w:val="44"/>
          <w:sz w:val="28"/>
          <w:szCs w:val="28"/>
        </w:rPr>
        <w:t>）投标文件的递交</w:t>
      </w:r>
    </w:p>
    <w:p>
      <w:pPr>
        <w:ind w:firstLine="560" w:firstLineChars="200"/>
        <w:rPr>
          <w:rFonts w:hint="eastAsia" w:ascii="仿宋" w:hAnsi="仿宋" w:eastAsia="仿宋" w:cs="仿宋"/>
          <w:kern w:val="44"/>
          <w:sz w:val="28"/>
          <w:szCs w:val="28"/>
          <w:u w:val="double"/>
        </w:rPr>
      </w:pPr>
      <w:r>
        <w:rPr>
          <w:rFonts w:hint="eastAsia" w:ascii="仿宋" w:hAnsi="仿宋" w:eastAsia="仿宋" w:cs="仿宋"/>
          <w:kern w:val="44"/>
          <w:sz w:val="28"/>
          <w:szCs w:val="28"/>
          <w:u w:val="double"/>
        </w:rPr>
        <w:t>1、递交投标文件的方式和时间</w:t>
      </w:r>
    </w:p>
    <w:p>
      <w:pPr>
        <w:ind w:firstLine="560" w:firstLineChars="200"/>
        <w:rPr>
          <w:rFonts w:hint="eastAsia" w:ascii="仿宋" w:hAnsi="仿宋" w:eastAsia="仿宋" w:cs="仿宋"/>
          <w:kern w:val="44"/>
          <w:sz w:val="28"/>
          <w:szCs w:val="28"/>
          <w:u w:val="double"/>
        </w:rPr>
      </w:pPr>
      <w:r>
        <w:rPr>
          <w:rFonts w:hint="eastAsia" w:ascii="仿宋" w:hAnsi="仿宋" w:eastAsia="仿宋" w:cs="仿宋"/>
          <w:kern w:val="44"/>
          <w:sz w:val="28"/>
          <w:szCs w:val="28"/>
          <w:u w:val="double"/>
          <w:lang w:val="en-US" w:eastAsia="zh-CN"/>
        </w:rPr>
        <w:t xml:space="preserve">1.1 </w:t>
      </w:r>
      <w:r>
        <w:rPr>
          <w:rFonts w:hint="eastAsia" w:ascii="仿宋" w:hAnsi="仿宋" w:eastAsia="仿宋" w:cs="仿宋"/>
          <w:kern w:val="44"/>
          <w:sz w:val="28"/>
          <w:szCs w:val="28"/>
          <w:u w:val="double"/>
        </w:rPr>
        <w:t>方式：</w:t>
      </w:r>
    </w:p>
    <w:p>
      <w:pPr>
        <w:ind w:firstLine="560" w:firstLineChars="200"/>
        <w:rPr>
          <w:rFonts w:hint="eastAsia" w:ascii="仿宋" w:hAnsi="仿宋" w:eastAsia="仿宋" w:cs="仿宋"/>
          <w:kern w:val="44"/>
          <w:sz w:val="28"/>
          <w:szCs w:val="28"/>
          <w:u w:val="double"/>
          <w:lang w:eastAsia="zh-CN"/>
        </w:rPr>
      </w:pPr>
      <w:r>
        <w:rPr>
          <w:rFonts w:hint="eastAsia" w:ascii="仿宋" w:hAnsi="仿宋" w:eastAsia="仿宋" w:cs="仿宋"/>
          <w:kern w:val="44"/>
          <w:sz w:val="28"/>
          <w:szCs w:val="28"/>
          <w:u w:val="double"/>
        </w:rPr>
        <w:t>线上</w:t>
      </w:r>
      <w:r>
        <w:rPr>
          <w:rFonts w:hint="eastAsia" w:ascii="仿宋" w:hAnsi="仿宋" w:eastAsia="仿宋" w:cs="仿宋"/>
          <w:kern w:val="44"/>
          <w:sz w:val="28"/>
          <w:szCs w:val="28"/>
          <w:u w:val="double"/>
          <w:lang w:eastAsia="zh-CN"/>
        </w:rPr>
        <w:t>：登录山东岱岳制盐有限公司官网（</w:t>
      </w:r>
      <w:r>
        <w:rPr>
          <w:rFonts w:hint="eastAsia" w:ascii="仿宋" w:hAnsi="仿宋" w:eastAsia="仿宋" w:cs="仿宋"/>
          <w:kern w:val="44"/>
          <w:sz w:val="28"/>
          <w:szCs w:val="28"/>
          <w:u w:val="double"/>
          <w:lang w:val="en-US" w:eastAsia="zh-CN"/>
        </w:rPr>
        <w:t>www.sddyzy.com</w:t>
      </w:r>
      <w:r>
        <w:rPr>
          <w:rFonts w:hint="eastAsia" w:ascii="仿宋" w:hAnsi="仿宋" w:eastAsia="仿宋" w:cs="仿宋"/>
          <w:kern w:val="44"/>
          <w:sz w:val="28"/>
          <w:szCs w:val="28"/>
          <w:u w:val="double"/>
          <w:lang w:eastAsia="zh-CN"/>
        </w:rPr>
        <w:t>）查看招标文件</w:t>
      </w:r>
      <w:r>
        <w:rPr>
          <w:rFonts w:hint="eastAsia" w:ascii="仿宋" w:hAnsi="仿宋" w:eastAsia="仿宋" w:cs="仿宋"/>
          <w:kern w:val="44"/>
          <w:sz w:val="28"/>
          <w:szCs w:val="28"/>
          <w:u w:val="double"/>
        </w:rPr>
        <w:t>；</w:t>
      </w:r>
    </w:p>
    <w:p>
      <w:pPr>
        <w:ind w:firstLine="560" w:firstLineChars="200"/>
        <w:rPr>
          <w:rFonts w:hint="eastAsia" w:ascii="仿宋" w:hAnsi="仿宋" w:eastAsia="仿宋" w:cs="仿宋"/>
          <w:kern w:val="44"/>
          <w:sz w:val="28"/>
          <w:szCs w:val="28"/>
          <w:u w:val="double"/>
          <w:lang w:eastAsia="zh-CN"/>
        </w:rPr>
      </w:pPr>
      <w:r>
        <w:rPr>
          <w:rFonts w:hint="eastAsia" w:ascii="仿宋" w:hAnsi="仿宋" w:eastAsia="仿宋" w:cs="仿宋"/>
          <w:kern w:val="44"/>
          <w:sz w:val="28"/>
          <w:szCs w:val="28"/>
          <w:u w:val="double"/>
          <w:lang w:eastAsia="zh-CN"/>
        </w:rPr>
        <w:t>线下：报专用邮箱：</w:t>
      </w:r>
      <w:r>
        <w:rPr>
          <w:rFonts w:hint="eastAsia" w:ascii="仿宋" w:hAnsi="仿宋" w:eastAsia="仿宋" w:cs="仿宋"/>
          <w:kern w:val="44"/>
          <w:sz w:val="28"/>
          <w:szCs w:val="28"/>
          <w:u w:val="double"/>
          <w:lang w:eastAsia="zh-CN"/>
        </w:rPr>
        <w:fldChar w:fldCharType="begin"/>
      </w:r>
      <w:r>
        <w:rPr>
          <w:rFonts w:hint="eastAsia" w:ascii="仿宋" w:hAnsi="仿宋" w:eastAsia="仿宋" w:cs="仿宋"/>
          <w:kern w:val="44"/>
          <w:sz w:val="28"/>
          <w:szCs w:val="28"/>
          <w:u w:val="double"/>
          <w:lang w:eastAsia="zh-CN"/>
        </w:rPr>
        <w:instrText xml:space="preserve"> HYPERLINK "mailto:dyzy009@163.com" </w:instrText>
      </w:r>
      <w:r>
        <w:rPr>
          <w:rFonts w:hint="eastAsia" w:ascii="仿宋" w:hAnsi="仿宋" w:eastAsia="仿宋" w:cs="仿宋"/>
          <w:kern w:val="44"/>
          <w:sz w:val="28"/>
          <w:szCs w:val="28"/>
          <w:u w:val="double"/>
          <w:lang w:eastAsia="zh-CN"/>
        </w:rPr>
        <w:fldChar w:fldCharType="separate"/>
      </w:r>
      <w:r>
        <w:rPr>
          <w:rFonts w:hint="eastAsia" w:ascii="仿宋" w:hAnsi="仿宋" w:eastAsia="仿宋" w:cs="仿宋"/>
          <w:kern w:val="44"/>
          <w:sz w:val="28"/>
          <w:szCs w:val="28"/>
          <w:u w:val="double"/>
          <w:lang w:eastAsia="zh-CN"/>
        </w:rPr>
        <w:t>dyzys</w:t>
      </w:r>
      <w:r>
        <w:rPr>
          <w:rFonts w:hint="eastAsia" w:ascii="仿宋" w:hAnsi="仿宋" w:eastAsia="仿宋" w:cs="仿宋"/>
          <w:kern w:val="44"/>
          <w:sz w:val="28"/>
          <w:szCs w:val="28"/>
          <w:u w:val="double"/>
          <w:lang w:val="en-US" w:eastAsia="zh-CN"/>
        </w:rPr>
        <w:t>cb</w:t>
      </w:r>
      <w:r>
        <w:rPr>
          <w:rFonts w:hint="eastAsia" w:ascii="仿宋" w:hAnsi="仿宋" w:eastAsia="仿宋" w:cs="仿宋"/>
          <w:kern w:val="44"/>
          <w:sz w:val="28"/>
          <w:szCs w:val="28"/>
          <w:u w:val="double"/>
          <w:lang w:eastAsia="zh-CN"/>
        </w:rPr>
        <w:t>@163.com</w:t>
      </w:r>
      <w:r>
        <w:rPr>
          <w:rFonts w:hint="eastAsia" w:ascii="仿宋" w:hAnsi="仿宋" w:eastAsia="仿宋" w:cs="仿宋"/>
          <w:kern w:val="44"/>
          <w:sz w:val="28"/>
          <w:szCs w:val="28"/>
          <w:u w:val="double"/>
          <w:lang w:eastAsia="zh-CN"/>
        </w:rPr>
        <w:fldChar w:fldCharType="end"/>
      </w:r>
      <w:r>
        <w:rPr>
          <w:rFonts w:hint="eastAsia" w:ascii="仿宋" w:hAnsi="仿宋" w:eastAsia="仿宋" w:cs="仿宋"/>
          <w:kern w:val="44"/>
          <w:sz w:val="28"/>
          <w:szCs w:val="28"/>
          <w:u w:val="double"/>
          <w:lang w:eastAsia="zh-CN"/>
        </w:rPr>
        <w:t>；</w:t>
      </w:r>
    </w:p>
    <w:p>
      <w:pPr>
        <w:ind w:firstLine="560" w:firstLineChars="200"/>
        <w:rPr>
          <w:rFonts w:hint="eastAsia" w:ascii="仿宋" w:hAnsi="仿宋" w:eastAsia="仿宋" w:cs="仿宋"/>
          <w:kern w:val="44"/>
          <w:sz w:val="28"/>
          <w:szCs w:val="28"/>
          <w:u w:val="double"/>
          <w:lang w:eastAsia="zh-CN"/>
        </w:rPr>
      </w:pPr>
      <w:r>
        <w:rPr>
          <w:rFonts w:hint="eastAsia" w:ascii="仿宋" w:hAnsi="仿宋" w:eastAsia="仿宋" w:cs="仿宋"/>
          <w:kern w:val="44"/>
          <w:sz w:val="28"/>
          <w:szCs w:val="28"/>
          <w:u w:val="double"/>
          <w:lang w:val="en-US" w:eastAsia="zh-CN"/>
        </w:rPr>
        <w:t xml:space="preserve">1.2 </w:t>
      </w:r>
      <w:r>
        <w:rPr>
          <w:rFonts w:hint="eastAsia" w:ascii="仿宋" w:hAnsi="仿宋" w:eastAsia="仿宋" w:cs="仿宋"/>
          <w:kern w:val="44"/>
          <w:sz w:val="28"/>
          <w:szCs w:val="28"/>
          <w:u w:val="double"/>
        </w:rPr>
        <w:t>投标截止时间：</w:t>
      </w:r>
      <w:r>
        <w:rPr>
          <w:rFonts w:hint="eastAsia" w:ascii="仿宋" w:hAnsi="仿宋" w:eastAsia="仿宋" w:cs="仿宋"/>
          <w:color w:val="FF0000"/>
          <w:kern w:val="44"/>
          <w:sz w:val="28"/>
          <w:szCs w:val="28"/>
          <w:u w:val="double"/>
          <w:lang w:val="en-US" w:eastAsia="zh-CN"/>
        </w:rPr>
        <w:t>截止时间</w:t>
      </w:r>
      <w:r>
        <w:rPr>
          <w:rFonts w:hint="eastAsia" w:ascii="仿宋" w:hAnsi="仿宋" w:eastAsia="仿宋" w:cs="仿宋"/>
          <w:color w:val="FF0000"/>
          <w:kern w:val="44"/>
          <w:sz w:val="28"/>
          <w:szCs w:val="28"/>
          <w:u w:val="double"/>
          <w:lang w:eastAsia="zh-CN"/>
        </w:rPr>
        <w:t>2</w:t>
      </w:r>
      <w:r>
        <w:rPr>
          <w:rFonts w:hint="eastAsia" w:ascii="仿宋" w:hAnsi="仿宋" w:eastAsia="仿宋" w:cs="仿宋"/>
          <w:color w:val="FF0000"/>
          <w:kern w:val="44"/>
          <w:sz w:val="28"/>
          <w:szCs w:val="28"/>
          <w:u w:val="double"/>
          <w:lang w:val="en-US" w:eastAsia="zh-CN"/>
        </w:rPr>
        <w:t>023年11月15日上午9:00。</w:t>
      </w:r>
    </w:p>
    <w:p>
      <w:pPr>
        <w:pStyle w:val="15"/>
        <w:ind w:firstLine="560" w:firstLineChars="200"/>
        <w:rPr>
          <w:rFonts w:hint="eastAsia" w:ascii="仿宋" w:hAnsi="仿宋" w:eastAsia="仿宋" w:cs="仿宋"/>
          <w:color w:val="FF0000"/>
          <w:kern w:val="44"/>
          <w:sz w:val="28"/>
          <w:szCs w:val="28"/>
          <w:u w:val="double"/>
        </w:rPr>
      </w:pPr>
      <w:r>
        <w:rPr>
          <w:rFonts w:hint="eastAsia" w:ascii="仿宋" w:hAnsi="仿宋" w:eastAsia="仿宋" w:cs="仿宋"/>
          <w:kern w:val="44"/>
          <w:sz w:val="28"/>
          <w:szCs w:val="28"/>
          <w:u w:val="double"/>
          <w:lang w:val="en-US" w:eastAsia="zh-CN"/>
        </w:rPr>
        <w:t xml:space="preserve">1.3 </w:t>
      </w:r>
      <w:r>
        <w:rPr>
          <w:rFonts w:hint="eastAsia" w:ascii="仿宋" w:hAnsi="仿宋" w:eastAsia="仿宋" w:cs="仿宋"/>
          <w:color w:val="FF0000"/>
          <w:kern w:val="44"/>
          <w:sz w:val="28"/>
          <w:szCs w:val="28"/>
          <w:u w:val="double"/>
        </w:rPr>
        <w:t>供应商代表必须在投标截止时间前将投标文件上传</w:t>
      </w:r>
      <w:r>
        <w:rPr>
          <w:rFonts w:hint="eastAsia" w:ascii="仿宋" w:hAnsi="仿宋" w:eastAsia="仿宋" w:cs="仿宋"/>
          <w:color w:val="FF0000"/>
          <w:kern w:val="44"/>
          <w:sz w:val="28"/>
          <w:szCs w:val="28"/>
          <w:u w:val="double"/>
          <w:lang w:eastAsia="zh-CN"/>
        </w:rPr>
        <w:t>并邮寄至少</w:t>
      </w:r>
      <w:r>
        <w:rPr>
          <w:rFonts w:hint="eastAsia" w:ascii="仿宋" w:hAnsi="仿宋" w:eastAsia="仿宋" w:cs="仿宋"/>
          <w:color w:val="FF0000"/>
          <w:kern w:val="44"/>
          <w:sz w:val="28"/>
          <w:szCs w:val="28"/>
          <w:u w:val="double"/>
          <w:lang w:val="en-US" w:eastAsia="zh-CN"/>
        </w:rPr>
        <w:t>3份投标文件（加盖公章并密封）至采购人，邮寄地址：</w:t>
      </w:r>
      <w:r>
        <w:rPr>
          <w:rFonts w:hint="eastAsia" w:ascii="仿宋" w:hAnsi="仿宋" w:eastAsia="仿宋" w:cs="仿宋"/>
          <w:color w:val="FF0000"/>
          <w:sz w:val="28"/>
          <w:szCs w:val="28"/>
          <w:u w:val="double"/>
          <w:lang w:val="en-US" w:eastAsia="zh-CN"/>
        </w:rPr>
        <w:t>山东省泰安市岱岳区大汶口石膏工业园区山东岱岳制盐有限公司新厂，生产管理部；收件人：张经理，13705382602。</w:t>
      </w:r>
    </w:p>
    <w:p>
      <w:pPr>
        <w:ind w:firstLine="560" w:firstLineChars="200"/>
        <w:rPr>
          <w:rFonts w:hint="eastAsia" w:ascii="仿宋" w:hAnsi="仿宋" w:eastAsia="仿宋" w:cs="仿宋"/>
          <w:color w:val="FF0000"/>
          <w:kern w:val="44"/>
          <w:sz w:val="28"/>
          <w:szCs w:val="28"/>
          <w:u w:val="double"/>
        </w:rPr>
      </w:pPr>
      <w:r>
        <w:rPr>
          <w:rFonts w:hint="eastAsia" w:ascii="仿宋" w:hAnsi="仿宋" w:eastAsia="仿宋" w:cs="仿宋"/>
          <w:color w:val="FF0000"/>
          <w:kern w:val="44"/>
          <w:sz w:val="28"/>
          <w:szCs w:val="28"/>
          <w:u w:val="double"/>
          <w:lang w:val="en-US" w:eastAsia="zh-CN"/>
        </w:rPr>
        <w:t xml:space="preserve">1.4 </w:t>
      </w:r>
      <w:r>
        <w:rPr>
          <w:rFonts w:hint="eastAsia" w:ascii="仿宋" w:hAnsi="仿宋" w:eastAsia="仿宋" w:cs="仿宋"/>
          <w:color w:val="FF0000"/>
          <w:kern w:val="44"/>
          <w:sz w:val="28"/>
          <w:szCs w:val="28"/>
          <w:u w:val="double"/>
        </w:rPr>
        <w:t>电报、电话、</w:t>
      </w:r>
      <w:r>
        <w:rPr>
          <w:rFonts w:hint="eastAsia" w:ascii="仿宋" w:hAnsi="仿宋" w:eastAsia="仿宋" w:cs="仿宋"/>
          <w:color w:val="FF0000"/>
          <w:kern w:val="44"/>
          <w:sz w:val="28"/>
          <w:szCs w:val="28"/>
          <w:u w:val="double"/>
          <w:lang w:eastAsia="zh-CN"/>
        </w:rPr>
        <w:t>口头报价</w:t>
      </w:r>
      <w:r>
        <w:rPr>
          <w:rFonts w:hint="eastAsia" w:ascii="仿宋" w:hAnsi="仿宋" w:eastAsia="仿宋" w:cs="仿宋"/>
          <w:color w:val="FF0000"/>
          <w:kern w:val="44"/>
          <w:sz w:val="28"/>
          <w:szCs w:val="28"/>
          <w:u w:val="double"/>
        </w:rPr>
        <w:t>等形式的投标概不接受。</w:t>
      </w:r>
    </w:p>
    <w:bookmarkEnd w:id="1"/>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w:t>
      </w:r>
      <w:r>
        <w:rPr>
          <w:rFonts w:hint="eastAsia" w:ascii="仿宋" w:hAnsi="仿宋" w:eastAsia="仿宋" w:cs="仿宋"/>
          <w:kern w:val="44"/>
          <w:sz w:val="28"/>
          <w:szCs w:val="28"/>
          <w:lang w:eastAsia="zh-CN"/>
        </w:rPr>
        <w:t>四</w:t>
      </w:r>
      <w:r>
        <w:rPr>
          <w:rFonts w:hint="eastAsia" w:ascii="仿宋" w:hAnsi="仿宋" w:eastAsia="仿宋" w:cs="仿宋"/>
          <w:kern w:val="44"/>
          <w:sz w:val="28"/>
          <w:szCs w:val="28"/>
        </w:rPr>
        <w:t>）迟交的投标文件</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u w:val="double"/>
        </w:rPr>
        <w:t>采购人将拒绝接收在投标截止时间后送达的投标文件。</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六、无效投标</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（一）供应商有下列情况之一，其投标视为无效投标。</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1、不具备招标文件中规定的资格要求的；</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2、投标文件含有采购人不能接受的附加条件的；</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3、投标有效期不满足招标文件要求；</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4、供应商所报服务不能满足招标文件要求的；</w:t>
      </w:r>
      <w:r>
        <w:rPr>
          <w:rFonts w:hint="eastAsia" w:ascii="仿宋" w:hAnsi="仿宋" w:eastAsia="仿宋" w:cs="仿宋"/>
          <w:kern w:val="44"/>
          <w:sz w:val="28"/>
          <w:szCs w:val="28"/>
        </w:rPr>
        <w:tab/>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5、供应商存在弄虚作假的行为；</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6、属于采购人与供应商、供应商之间相互串通投标情形；</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7、对采购人、采购代理机构、评标委员会及其他工作人员施加影响，有碍公平、公正；</w:t>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8、招标文件规定的其他投标无效情形；</w:t>
      </w:r>
      <w:r>
        <w:rPr>
          <w:rFonts w:hint="eastAsia" w:ascii="仿宋" w:hAnsi="仿宋" w:eastAsia="仿宋" w:cs="仿宋"/>
          <w:kern w:val="44"/>
          <w:sz w:val="28"/>
          <w:szCs w:val="28"/>
        </w:rPr>
        <w:tab/>
      </w:r>
    </w:p>
    <w:p>
      <w:pPr>
        <w:ind w:firstLine="560" w:firstLineChars="200"/>
        <w:rPr>
          <w:rFonts w:hint="eastAsia" w:ascii="仿宋" w:hAnsi="仿宋" w:eastAsia="仿宋" w:cs="仿宋"/>
          <w:kern w:val="44"/>
          <w:sz w:val="28"/>
          <w:szCs w:val="28"/>
        </w:rPr>
      </w:pPr>
      <w:r>
        <w:rPr>
          <w:rFonts w:hint="eastAsia" w:ascii="仿宋" w:hAnsi="仿宋" w:eastAsia="仿宋" w:cs="仿宋"/>
          <w:kern w:val="44"/>
          <w:sz w:val="28"/>
          <w:szCs w:val="28"/>
        </w:rPr>
        <w:t>9、法律、法规、规章规定属于投标无效的其他。</w:t>
      </w:r>
    </w:p>
    <w:p>
      <w:pPr>
        <w:jc w:val="center"/>
        <w:rPr>
          <w:rFonts w:hint="eastAsia" w:ascii="仿宋" w:hAnsi="仿宋" w:eastAsia="仿宋" w:cs="仿宋"/>
          <w:kern w:val="44"/>
          <w:sz w:val="28"/>
          <w:szCs w:val="28"/>
        </w:rPr>
      </w:pPr>
      <w:r>
        <w:rPr>
          <w:rFonts w:hint="eastAsia" w:ascii="仿宋" w:hAnsi="仿宋" w:eastAsia="仿宋" w:cs="仿宋"/>
          <w:sz w:val="28"/>
          <w:szCs w:val="28"/>
        </w:rPr>
        <w:br w:type="page"/>
      </w:r>
      <w:bookmarkStart w:id="2" w:name="_Toc144974554"/>
      <w:bookmarkStart w:id="3" w:name="_Toc152045587"/>
      <w:bookmarkStart w:id="4" w:name="_Toc179632605"/>
      <w:bookmarkStart w:id="5" w:name="_Toc152042364"/>
      <w:r>
        <w:rPr>
          <w:rFonts w:hint="eastAsia" w:ascii="仿宋" w:hAnsi="仿宋" w:eastAsia="仿宋" w:cs="仿宋"/>
          <w:kern w:val="44"/>
          <w:sz w:val="28"/>
          <w:szCs w:val="28"/>
        </w:rPr>
        <w:t>第三章 评标办法</w:t>
      </w:r>
      <w:bookmarkEnd w:id="2"/>
      <w:bookmarkEnd w:id="3"/>
      <w:bookmarkEnd w:id="4"/>
      <w:bookmarkEnd w:id="5"/>
    </w:p>
    <w:p>
      <w:pPr>
        <w:ind w:firstLine="560" w:firstLineChars="200"/>
        <w:rPr>
          <w:rFonts w:hint="eastAsia" w:ascii="仿宋" w:hAnsi="仿宋" w:eastAsia="仿宋" w:cs="仿宋"/>
          <w:sz w:val="28"/>
          <w:szCs w:val="28"/>
        </w:rPr>
      </w:pPr>
      <w:r>
        <w:rPr>
          <w:rFonts w:hint="eastAsia" w:ascii="仿宋" w:hAnsi="仿宋" w:eastAsia="仿宋" w:cs="仿宋"/>
          <w:sz w:val="28"/>
          <w:szCs w:val="28"/>
        </w:rPr>
        <w:t>一、评标委员会</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按照相关规定由五人及以上单数组成评标委员会，评标委员会负责对投标文件进行审查、质疑、评审，确定中标候选人。</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二、资格审查及投标文件的响应性审查</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（一）本项目资格审查方式为资格后审。</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（二）评标委员会将组织审查投标文件是否完整；是否按规定报价；报价是否有错误；投标文件是否已按招标文件的要求签署。</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（三）评标委员会经审查供应商提供的投标文件，如果确定供应商无资格或无能力履行合同，其投标将被拒绝。</w:t>
      </w:r>
    </w:p>
    <w:p>
      <w:pPr>
        <w:ind w:firstLine="556" w:firstLineChars="200"/>
        <w:rPr>
          <w:rFonts w:hint="eastAsia" w:ascii="仿宋" w:hAnsi="仿宋" w:eastAsia="仿宋" w:cs="仿宋"/>
          <w:sz w:val="28"/>
          <w:szCs w:val="28"/>
        </w:rPr>
      </w:pPr>
      <w:r>
        <w:rPr>
          <w:rFonts w:hint="eastAsia" w:ascii="仿宋" w:hAnsi="仿宋" w:eastAsia="仿宋" w:cs="仿宋"/>
          <w:spacing w:val="-1"/>
          <w:sz w:val="28"/>
          <w:szCs w:val="28"/>
        </w:rPr>
        <w:t>（四）</w:t>
      </w:r>
      <w:r>
        <w:rPr>
          <w:rFonts w:hint="eastAsia" w:ascii="仿宋" w:hAnsi="仿宋" w:eastAsia="仿宋" w:cs="仿宋"/>
          <w:spacing w:val="-6"/>
          <w:sz w:val="28"/>
          <w:szCs w:val="28"/>
        </w:rPr>
        <w:t>评标委员会将确定每一供应商是否对招标文件的要求做出了实质性的响</w:t>
      </w:r>
      <w:r>
        <w:rPr>
          <w:rFonts w:hint="eastAsia" w:ascii="仿宋" w:hAnsi="仿宋" w:eastAsia="仿宋" w:cs="仿宋"/>
          <w:spacing w:val="-4"/>
          <w:sz w:val="28"/>
          <w:szCs w:val="28"/>
        </w:rPr>
        <w:t>应而没有重大偏离。实质性响应的投标是指投标符合招标文件的所有条款、条</w:t>
      </w:r>
      <w:r>
        <w:rPr>
          <w:rFonts w:hint="eastAsia" w:ascii="仿宋" w:hAnsi="仿宋" w:eastAsia="仿宋" w:cs="仿宋"/>
          <w:spacing w:val="-3"/>
          <w:sz w:val="28"/>
          <w:szCs w:val="28"/>
        </w:rPr>
        <w:t>件和规定且没有重大偏离或保留。评标委员会判断投标文件的响应性仅基于投标文件本身而不靠外部证据。</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（五）评标委员会将拒绝被确定为非实质性响应的投标文件，供应商不能通过修正或撤销投标文件中的不符之处而使其投标成为实质性响应的投标。</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三、评标原则</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“公平、公正、竞争、择优”为本次评标的基本原则，评标委员会将按照</w:t>
      </w:r>
      <w:r>
        <w:rPr>
          <w:rFonts w:hint="eastAsia" w:ascii="仿宋" w:hAnsi="仿宋" w:eastAsia="仿宋" w:cs="仿宋"/>
          <w:spacing w:val="-7"/>
          <w:sz w:val="28"/>
          <w:szCs w:val="28"/>
        </w:rPr>
        <w:t>这一原则的要求，公正、平等地对待各供应商。同时，在评标时恪守以下原则：</w:t>
      </w:r>
    </w:p>
    <w:p>
      <w:pPr>
        <w:ind w:firstLine="556" w:firstLineChars="200"/>
        <w:rPr>
          <w:rFonts w:hint="eastAsia" w:ascii="仿宋" w:hAnsi="仿宋" w:eastAsia="仿宋" w:cs="仿宋"/>
          <w:sz w:val="28"/>
          <w:szCs w:val="28"/>
        </w:rPr>
      </w:pPr>
      <w:r>
        <w:rPr>
          <w:rFonts w:hint="eastAsia" w:ascii="仿宋" w:hAnsi="仿宋" w:eastAsia="仿宋" w:cs="仿宋"/>
          <w:spacing w:val="-1"/>
          <w:sz w:val="28"/>
          <w:szCs w:val="28"/>
        </w:rPr>
        <w:t>（一）</w:t>
      </w:r>
      <w:r>
        <w:rPr>
          <w:rFonts w:hint="eastAsia" w:ascii="仿宋" w:hAnsi="仿宋" w:eastAsia="仿宋" w:cs="仿宋"/>
          <w:spacing w:val="-6"/>
          <w:sz w:val="28"/>
          <w:szCs w:val="28"/>
        </w:rPr>
        <w:t>客观性原则：评标委员会将严格按照招标文件的要求，对供应商的投标</w:t>
      </w:r>
      <w:r>
        <w:rPr>
          <w:rFonts w:hint="eastAsia" w:ascii="仿宋" w:hAnsi="仿宋" w:eastAsia="仿宋" w:cs="仿宋"/>
          <w:spacing w:val="-4"/>
          <w:sz w:val="28"/>
          <w:szCs w:val="28"/>
        </w:rPr>
        <w:t>文件进行认真评审；评标委员会对投标文件的评审仅依据投标文件本身，而不</w:t>
      </w:r>
      <w:r>
        <w:rPr>
          <w:rFonts w:hint="eastAsia" w:ascii="仿宋" w:hAnsi="仿宋" w:eastAsia="仿宋" w:cs="仿宋"/>
          <w:spacing w:val="-3"/>
          <w:sz w:val="28"/>
          <w:szCs w:val="28"/>
        </w:rPr>
        <w:t>依靠投标文件以外的任何因素。</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（二）统一性原则：评标委员会将按照统一的评标原则和评标方法，用同一标准进行评标。</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（三）独立性原则：评标工作在评标委员会内部独立进行，不受外界任何因素的干扰和影响。评委对出具的评标意见承担个人责任。</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（四）保密性原则：评委及熟知情况的有关工作人员必须对供应商的商业秘密严格保密。</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（五）综合性原则：评标委员会将综合分析、评审供应商的各项指标，而不以单项指标的优劣评定出中标人。</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四、定标原则和评标方法</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（一）按能够最大限度的满足招标文件，采用综合评估法，以综合得分最高分中标的原则定标。</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（二）采用综合评分法来确定中标人，最低报价不作为中标的唯一依据。</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w:t>
      </w:r>
      <w:r>
        <w:rPr>
          <w:rFonts w:hint="eastAsia" w:ascii="仿宋" w:hAnsi="仿宋" w:eastAsia="仿宋" w:cs="仿宋"/>
          <w:sz w:val="28"/>
          <w:szCs w:val="28"/>
          <w:lang w:eastAsia="zh-CN"/>
        </w:rPr>
        <w:t>三</w:t>
      </w:r>
      <w:r>
        <w:rPr>
          <w:rFonts w:hint="eastAsia" w:ascii="仿宋" w:hAnsi="仿宋" w:eastAsia="仿宋" w:cs="仿宋"/>
          <w:sz w:val="28"/>
          <w:szCs w:val="28"/>
        </w:rPr>
        <w:t>）</w:t>
      </w:r>
      <w:r>
        <w:rPr>
          <w:rFonts w:hint="eastAsia" w:ascii="仿宋" w:hAnsi="仿宋" w:eastAsia="仿宋" w:cs="仿宋"/>
          <w:sz w:val="28"/>
          <w:szCs w:val="28"/>
          <w:lang w:val="en-US" w:eastAsia="zh-CN"/>
        </w:rPr>
        <w:t>评标程序：</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初步评审</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依据招标文件的规定，从投标文件的有效性、完整性和响应程度进行审查，以确定是否对招标文件的要求做出了实质性的响应。</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rPr>
        <w:t>综合评</w:t>
      </w:r>
      <w:r>
        <w:rPr>
          <w:rFonts w:hint="eastAsia" w:ascii="仿宋" w:hAnsi="仿宋" w:eastAsia="仿宋" w:cs="仿宋"/>
          <w:sz w:val="28"/>
          <w:szCs w:val="28"/>
          <w:lang w:eastAsia="zh-CN"/>
        </w:rPr>
        <w:t>标</w:t>
      </w:r>
    </w:p>
    <w:p>
      <w:pPr>
        <w:ind w:firstLine="560" w:firstLineChars="200"/>
        <w:rPr>
          <w:rFonts w:hint="eastAsia" w:ascii="仿宋" w:hAnsi="仿宋" w:eastAsia="仿宋" w:cs="仿宋"/>
          <w:sz w:val="28"/>
          <w:szCs w:val="28"/>
        </w:rPr>
      </w:pPr>
      <w:r>
        <w:rPr>
          <w:rFonts w:hint="eastAsia" w:ascii="仿宋" w:hAnsi="仿宋" w:eastAsia="仿宋" w:cs="仿宋"/>
          <w:kern w:val="44"/>
          <w:sz w:val="28"/>
          <w:szCs w:val="28"/>
          <w:u w:val="double"/>
          <w:lang w:val="zh-CN" w:eastAsia="zh-CN"/>
        </w:rPr>
        <w:t>评标委员会将根据各自提供的施工方案进行评比打分，</w:t>
      </w:r>
      <w:r>
        <w:rPr>
          <w:rFonts w:hint="eastAsia" w:ascii="仿宋" w:hAnsi="仿宋" w:eastAsia="仿宋" w:cs="仿宋"/>
          <w:sz w:val="28"/>
          <w:szCs w:val="28"/>
          <w:lang w:eastAsia="zh-CN"/>
        </w:rPr>
        <w:t>然后</w:t>
      </w:r>
      <w:r>
        <w:rPr>
          <w:rFonts w:hint="eastAsia" w:ascii="仿宋" w:hAnsi="仿宋" w:eastAsia="仿宋" w:cs="仿宋"/>
          <w:sz w:val="28"/>
          <w:szCs w:val="28"/>
        </w:rPr>
        <w:t>根据综合评分情况，按照评</w:t>
      </w:r>
      <w:r>
        <w:rPr>
          <w:rFonts w:hint="eastAsia" w:ascii="仿宋" w:hAnsi="仿宋" w:eastAsia="仿宋" w:cs="仿宋"/>
          <w:sz w:val="28"/>
          <w:szCs w:val="28"/>
          <w:lang w:eastAsia="zh-CN"/>
        </w:rPr>
        <w:t>标</w:t>
      </w:r>
      <w:r>
        <w:rPr>
          <w:rFonts w:hint="eastAsia" w:ascii="仿宋" w:hAnsi="仿宋" w:eastAsia="仿宋" w:cs="仿宋"/>
          <w:sz w:val="28"/>
          <w:szCs w:val="28"/>
        </w:rPr>
        <w:t>得分由高到低顺序确定中标人，评</w:t>
      </w:r>
      <w:r>
        <w:rPr>
          <w:rFonts w:hint="eastAsia" w:ascii="仿宋" w:hAnsi="仿宋" w:eastAsia="仿宋" w:cs="仿宋"/>
          <w:sz w:val="28"/>
          <w:szCs w:val="28"/>
          <w:lang w:eastAsia="zh-CN"/>
        </w:rPr>
        <w:t>标</w:t>
      </w:r>
      <w:r>
        <w:rPr>
          <w:rFonts w:hint="eastAsia" w:ascii="仿宋" w:hAnsi="仿宋" w:eastAsia="仿宋" w:cs="仿宋"/>
          <w:sz w:val="28"/>
          <w:szCs w:val="28"/>
        </w:rPr>
        <w:t>得分相同的，按照报价由低到高的顺序确定中标人，评</w:t>
      </w:r>
      <w:r>
        <w:rPr>
          <w:rFonts w:hint="eastAsia" w:ascii="仿宋" w:hAnsi="仿宋" w:eastAsia="仿宋" w:cs="仿宋"/>
          <w:sz w:val="28"/>
          <w:szCs w:val="28"/>
          <w:lang w:eastAsia="zh-CN"/>
        </w:rPr>
        <w:t>标</w:t>
      </w:r>
      <w:r>
        <w:rPr>
          <w:rFonts w:hint="eastAsia" w:ascii="仿宋" w:hAnsi="仿宋" w:eastAsia="仿宋" w:cs="仿宋"/>
          <w:sz w:val="28"/>
          <w:szCs w:val="28"/>
        </w:rPr>
        <w:t>得分相同且最后报价相同的，按照技术指标优劣顺序确定中标人。</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3、评标因素及分值：</w:t>
      </w:r>
    </w:p>
    <w:tbl>
      <w:tblPr>
        <w:tblStyle w:val="10"/>
        <w:tblpPr w:leftFromText="180" w:rightFromText="180" w:vertAnchor="text" w:horzAnchor="page" w:tblpX="2124" w:tblpY="251"/>
        <w:tblOverlap w:val="never"/>
        <w:tblW w:w="0" w:type="auto"/>
        <w:tblInd w:w="0" w:type="dxa"/>
        <w:tblLayout w:type="fixed"/>
        <w:tblCellMar>
          <w:top w:w="0" w:type="dxa"/>
          <w:left w:w="10" w:type="dxa"/>
          <w:bottom w:w="0" w:type="dxa"/>
          <w:right w:w="10" w:type="dxa"/>
        </w:tblCellMar>
      </w:tblPr>
      <w:tblGrid>
        <w:gridCol w:w="1313"/>
        <w:gridCol w:w="1640"/>
        <w:gridCol w:w="1640"/>
        <w:gridCol w:w="1644"/>
        <w:gridCol w:w="1151"/>
      </w:tblGrid>
      <w:tr>
        <w:tblPrEx>
          <w:tblCellMar>
            <w:top w:w="0" w:type="dxa"/>
            <w:left w:w="10" w:type="dxa"/>
            <w:bottom w:w="0" w:type="dxa"/>
            <w:right w:w="10" w:type="dxa"/>
          </w:tblCellMar>
        </w:tblPrEx>
        <w:trPr>
          <w:trHeight w:val="459" w:hRule="atLeast"/>
        </w:trPr>
        <w:tc>
          <w:tcPr>
            <w:tcW w:w="1313"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评分因素</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hint="eastAsia" w:ascii="仿宋_GB2312" w:hAnsi="仿宋" w:eastAsia="仿宋_GB2312"/>
                <w:b/>
                <w:color w:val="000000"/>
                <w:sz w:val="24"/>
                <w:szCs w:val="24"/>
                <w:lang w:val="zh-CN"/>
              </w:rPr>
              <w:t>报价得分</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hint="eastAsia" w:ascii="仿宋_GB2312" w:hAnsi="仿宋" w:eastAsia="仿宋_GB2312"/>
                <w:b/>
                <w:color w:val="000000"/>
                <w:sz w:val="24"/>
                <w:szCs w:val="24"/>
                <w:lang w:val="zh-CN"/>
              </w:rPr>
              <w:t>商务得分</w:t>
            </w:r>
          </w:p>
        </w:tc>
        <w:tc>
          <w:tcPr>
            <w:tcW w:w="1644"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技术</w:t>
            </w:r>
            <w:r>
              <w:rPr>
                <w:rFonts w:hint="eastAsia" w:ascii="仿宋_GB2312" w:hAnsi="仿宋" w:eastAsia="仿宋_GB2312"/>
                <w:b/>
                <w:color w:val="000000"/>
                <w:sz w:val="24"/>
                <w:szCs w:val="24"/>
                <w:lang w:val="zh-CN"/>
              </w:rPr>
              <w:t>得分</w:t>
            </w:r>
          </w:p>
        </w:tc>
        <w:tc>
          <w:tcPr>
            <w:tcW w:w="1151"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总分值</w:t>
            </w:r>
          </w:p>
        </w:tc>
      </w:tr>
      <w:tr>
        <w:tblPrEx>
          <w:tblCellMar>
            <w:top w:w="0" w:type="dxa"/>
            <w:left w:w="10" w:type="dxa"/>
            <w:bottom w:w="0" w:type="dxa"/>
            <w:right w:w="10" w:type="dxa"/>
          </w:tblCellMar>
        </w:tblPrEx>
        <w:trPr>
          <w:trHeight w:val="613" w:hRule="atLeast"/>
        </w:trPr>
        <w:tc>
          <w:tcPr>
            <w:tcW w:w="1313"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分值</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45</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jc w:val="center"/>
              <w:rPr>
                <w:rFonts w:hint="eastAsia" w:ascii="仿宋_GB2312" w:hAnsi="楷体" w:eastAsia="仿宋_GB2312"/>
                <w:sz w:val="24"/>
                <w:szCs w:val="24"/>
                <w:lang w:val="zh-CN" w:eastAsia="zh-CN"/>
              </w:rPr>
            </w:pPr>
            <w:r>
              <w:rPr>
                <w:rFonts w:ascii="仿宋_GB2312" w:hAnsi="楷体" w:eastAsia="仿宋_GB2312"/>
                <w:sz w:val="24"/>
                <w:szCs w:val="24"/>
                <w:lang w:val="zh-CN"/>
              </w:rPr>
              <w:t>2</w:t>
            </w:r>
            <w:r>
              <w:rPr>
                <w:rFonts w:hint="eastAsia" w:ascii="仿宋_GB2312" w:hAnsi="楷体" w:eastAsia="仿宋_GB2312"/>
                <w:sz w:val="24"/>
                <w:szCs w:val="24"/>
                <w:lang w:val="en-US" w:eastAsia="zh-CN"/>
              </w:rPr>
              <w:t>4</w:t>
            </w:r>
          </w:p>
        </w:tc>
        <w:tc>
          <w:tcPr>
            <w:tcW w:w="1644"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jc w:val="center"/>
              <w:rPr>
                <w:rFonts w:hint="default" w:ascii="仿宋_GB2312" w:hAnsi="楷体" w:eastAsia="仿宋_GB2312"/>
                <w:sz w:val="24"/>
                <w:szCs w:val="24"/>
                <w:lang w:val="en-US" w:eastAsia="zh-CN"/>
              </w:rPr>
            </w:pPr>
            <w:r>
              <w:rPr>
                <w:rFonts w:hint="eastAsia" w:ascii="仿宋_GB2312" w:hAnsi="楷体" w:eastAsia="仿宋_GB2312"/>
                <w:sz w:val="24"/>
                <w:szCs w:val="24"/>
                <w:lang w:val="en-US" w:eastAsia="zh-CN"/>
              </w:rPr>
              <w:t>31</w:t>
            </w:r>
          </w:p>
        </w:tc>
        <w:tc>
          <w:tcPr>
            <w:tcW w:w="1151"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100</w:t>
            </w:r>
          </w:p>
        </w:tc>
      </w:tr>
    </w:tbl>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3.1报价得分</w:t>
      </w:r>
    </w:p>
    <w:tbl>
      <w:tblPr>
        <w:tblStyle w:val="10"/>
        <w:tblW w:w="8008" w:type="dxa"/>
        <w:tblInd w:w="292" w:type="dxa"/>
        <w:tblLayout w:type="fixed"/>
        <w:tblCellMar>
          <w:top w:w="0" w:type="dxa"/>
          <w:left w:w="108" w:type="dxa"/>
          <w:bottom w:w="0" w:type="dxa"/>
          <w:right w:w="108" w:type="dxa"/>
        </w:tblCellMar>
      </w:tblPr>
      <w:tblGrid>
        <w:gridCol w:w="1281"/>
        <w:gridCol w:w="830"/>
        <w:gridCol w:w="5897"/>
      </w:tblGrid>
      <w:tr>
        <w:tblPrEx>
          <w:tblCellMar>
            <w:top w:w="0" w:type="dxa"/>
            <w:left w:w="108" w:type="dxa"/>
            <w:bottom w:w="0" w:type="dxa"/>
            <w:right w:w="108" w:type="dxa"/>
          </w:tblCellMar>
        </w:tblPrEx>
        <w:trPr>
          <w:trHeight w:val="653" w:hRule="atLeast"/>
        </w:trPr>
        <w:tc>
          <w:tcPr>
            <w:tcW w:w="1281"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83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724" w:hRule="atLeast"/>
        </w:trPr>
        <w:tc>
          <w:tcPr>
            <w:tcW w:w="1281"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报价</w:t>
            </w:r>
          </w:p>
        </w:tc>
        <w:tc>
          <w:tcPr>
            <w:tcW w:w="83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45</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（1）有效投标人数少于5家（含5家），所有有效报价的算术平均值的90%为评标基准价，（保留两位小数）。</w:t>
            </w:r>
          </w:p>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（2）有效投标人数多于6家（含6家），去掉一个最高报价和一个最低报价后，其余有效报价算术平均值的90%（保留两位小数）作为评标基准价。</w:t>
            </w:r>
          </w:p>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（3）报价与评标基准价一致的，得最高分</w:t>
            </w:r>
            <w:r>
              <w:rPr>
                <w:rFonts w:hint="eastAsia" w:ascii="仿宋_GB2312" w:hAnsi="仿宋" w:eastAsia="仿宋_GB2312"/>
                <w:sz w:val="24"/>
                <w:szCs w:val="24"/>
                <w:lang w:val="en-US" w:eastAsia="zh-CN"/>
              </w:rPr>
              <w:t>45</w:t>
            </w:r>
            <w:r>
              <w:rPr>
                <w:rFonts w:ascii="仿宋_GB2312" w:hAnsi="仿宋" w:eastAsia="仿宋_GB2312"/>
                <w:sz w:val="24"/>
                <w:szCs w:val="24"/>
                <w:lang w:val="zh-CN"/>
              </w:rPr>
              <w:t>分：在评标基准价以上，每提高一个百分点，在</w:t>
            </w:r>
            <w:r>
              <w:rPr>
                <w:rFonts w:hint="eastAsia" w:ascii="仿宋_GB2312" w:hAnsi="仿宋" w:eastAsia="仿宋_GB2312"/>
                <w:sz w:val="24"/>
                <w:szCs w:val="24"/>
                <w:lang w:val="en-US" w:eastAsia="zh-CN"/>
              </w:rPr>
              <w:t>45</w:t>
            </w:r>
            <w:r>
              <w:rPr>
                <w:rFonts w:ascii="仿宋_GB2312" w:hAnsi="仿宋" w:eastAsia="仿宋_GB2312"/>
                <w:sz w:val="24"/>
                <w:szCs w:val="24"/>
                <w:lang w:val="zh-CN"/>
              </w:rPr>
              <w:t>分基础上减1分；在评标基准价以下，每减少一个百分点，在</w:t>
            </w:r>
            <w:r>
              <w:rPr>
                <w:rFonts w:hint="eastAsia" w:ascii="仿宋_GB2312" w:hAnsi="仿宋" w:eastAsia="仿宋_GB2312"/>
                <w:sz w:val="24"/>
                <w:szCs w:val="24"/>
                <w:lang w:val="en-US" w:eastAsia="zh-CN"/>
              </w:rPr>
              <w:t>45</w:t>
            </w:r>
            <w:r>
              <w:rPr>
                <w:rFonts w:ascii="仿宋_GB2312" w:hAnsi="仿宋" w:eastAsia="仿宋_GB2312"/>
                <w:sz w:val="24"/>
                <w:szCs w:val="24"/>
                <w:lang w:val="zh-CN"/>
              </w:rPr>
              <w:t>分的基础上减0.5分。（最低得20分）</w:t>
            </w:r>
          </w:p>
          <w:p>
            <w:pPr>
              <w:wordWrap w:val="0"/>
              <w:autoSpaceDE w:val="0"/>
              <w:autoSpaceDN w:val="0"/>
              <w:snapToGrid w:val="0"/>
              <w:spacing w:line="360" w:lineRule="exact"/>
              <w:ind w:firstLine="480" w:firstLineChars="200"/>
              <w:rPr>
                <w:rFonts w:ascii="仿宋_GB2312" w:hAnsi="仿宋" w:eastAsia="仿宋_GB2312"/>
                <w:color w:val="000000"/>
                <w:sz w:val="24"/>
                <w:szCs w:val="24"/>
                <w:lang w:val="zh-CN"/>
              </w:rPr>
            </w:pPr>
            <w:r>
              <w:rPr>
                <w:rFonts w:ascii="仿宋_GB2312" w:hAnsi="仿宋" w:eastAsia="仿宋_GB2312"/>
                <w:sz w:val="24"/>
                <w:szCs w:val="24"/>
                <w:lang w:val="zh-CN"/>
              </w:rPr>
              <w:t>偏差率=100%×（投标人报价－评标基准价）/评标基准价</w:t>
            </w:r>
          </w:p>
        </w:tc>
      </w:tr>
    </w:tbl>
    <w:p>
      <w:pPr>
        <w:ind w:firstLine="640"/>
        <w:rPr>
          <w:rFonts w:hint="default"/>
          <w:lang w:val="en-US" w:eastAsia="zh-CN"/>
        </w:rPr>
      </w:pPr>
    </w:p>
    <w:p>
      <w:pPr>
        <w:spacing w:line="560" w:lineRule="exact"/>
        <w:ind w:firstLine="600" w:firstLineChars="200"/>
        <w:jc w:val="left"/>
        <w:rPr>
          <w:rFonts w:hint="eastAsia" w:ascii="仿宋_GB2312" w:eastAsia="仿宋_GB2312" w:hAnsiTheme="minorHAnsi" w:cstheme="minorBidi"/>
          <w:b w:val="0"/>
          <w:bCs w:val="0"/>
          <w:kern w:val="2"/>
          <w:sz w:val="30"/>
          <w:szCs w:val="30"/>
          <w:lang w:val="en-US" w:eastAsia="zh-CN" w:bidi="ar-SA"/>
        </w:rPr>
      </w:pPr>
      <w:r>
        <w:rPr>
          <w:rFonts w:hint="eastAsia" w:ascii="仿宋_GB2312" w:eastAsia="仿宋_GB2312" w:cstheme="minorBidi"/>
          <w:b w:val="0"/>
          <w:bCs w:val="0"/>
          <w:kern w:val="2"/>
          <w:sz w:val="30"/>
          <w:szCs w:val="30"/>
          <w:lang w:val="en-US" w:eastAsia="zh-CN" w:bidi="ar-SA"/>
        </w:rPr>
        <w:t>3</w:t>
      </w:r>
      <w:r>
        <w:rPr>
          <w:rFonts w:hint="eastAsia" w:ascii="仿宋_GB2312" w:eastAsia="仿宋_GB2312" w:hAnsiTheme="minorHAnsi" w:cstheme="minorBidi"/>
          <w:b w:val="0"/>
          <w:bCs w:val="0"/>
          <w:kern w:val="2"/>
          <w:sz w:val="30"/>
          <w:szCs w:val="30"/>
          <w:lang w:val="en-US" w:eastAsia="zh-CN" w:bidi="ar-SA"/>
        </w:rPr>
        <w:t>.2 商务得分</w:t>
      </w:r>
    </w:p>
    <w:tbl>
      <w:tblPr>
        <w:tblStyle w:val="10"/>
        <w:tblW w:w="0" w:type="auto"/>
        <w:tblInd w:w="292" w:type="dxa"/>
        <w:tblLayout w:type="fixed"/>
        <w:tblCellMar>
          <w:top w:w="0" w:type="dxa"/>
          <w:left w:w="108" w:type="dxa"/>
          <w:bottom w:w="0" w:type="dxa"/>
          <w:right w:w="108" w:type="dxa"/>
        </w:tblCellMar>
      </w:tblPr>
      <w:tblGrid>
        <w:gridCol w:w="1346"/>
        <w:gridCol w:w="765"/>
        <w:gridCol w:w="5897"/>
      </w:tblGrid>
      <w:tr>
        <w:tblPrEx>
          <w:tblCellMar>
            <w:top w:w="0" w:type="dxa"/>
            <w:left w:w="108" w:type="dxa"/>
            <w:bottom w:w="0" w:type="dxa"/>
            <w:right w:w="108" w:type="dxa"/>
          </w:tblCellMar>
        </w:tblPrEx>
        <w:trPr>
          <w:trHeight w:val="74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08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企业业绩</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olor w:val="000000"/>
                <w:sz w:val="24"/>
                <w:szCs w:val="24"/>
                <w:lang w:val="zh-CN" w:eastAsia="zh-CN"/>
              </w:rPr>
            </w:pPr>
            <w:r>
              <w:rPr>
                <w:rFonts w:ascii="仿宋_GB2312" w:hAnsi="仿宋" w:eastAsia="仿宋_GB2312"/>
                <w:color w:val="000000"/>
                <w:sz w:val="24"/>
                <w:szCs w:val="24"/>
                <w:lang w:val="zh-CN"/>
              </w:rPr>
              <w:t>2</w:t>
            </w:r>
            <w:r>
              <w:rPr>
                <w:rFonts w:hint="eastAsia" w:ascii="仿宋_GB2312" w:hAnsi="仿宋" w:eastAsia="仿宋_GB2312"/>
                <w:color w:val="000000"/>
                <w:sz w:val="24"/>
                <w:szCs w:val="24"/>
                <w:lang w:val="en-US" w:eastAsia="zh-CN"/>
              </w:rPr>
              <w:t>4</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spacing w:line="360" w:lineRule="exact"/>
              <w:rPr>
                <w:rFonts w:hint="eastAsia" w:ascii="仿宋_GB2312" w:hAnsi="仿宋" w:eastAsia="仿宋_GB2312"/>
                <w:sz w:val="24"/>
                <w:szCs w:val="24"/>
                <w:lang w:val="en-US" w:eastAsia="zh-CN"/>
              </w:rPr>
            </w:pPr>
            <w:r>
              <w:rPr>
                <w:rFonts w:hint="eastAsia" w:ascii="仿宋_GB2312" w:hAnsi="仿宋" w:eastAsia="仿宋_GB2312"/>
                <w:sz w:val="24"/>
                <w:szCs w:val="24"/>
                <w:lang w:val="zh-CN"/>
              </w:rPr>
              <w:t>提供符合要求的营业执照、安全生产许可证、资质证明、供应商简况表等，得</w:t>
            </w:r>
            <w:r>
              <w:rPr>
                <w:rFonts w:hint="eastAsia" w:ascii="仿宋_GB2312" w:hAnsi="仿宋" w:eastAsia="仿宋_GB2312"/>
                <w:sz w:val="24"/>
                <w:szCs w:val="24"/>
                <w:lang w:val="en-US" w:eastAsia="zh-CN"/>
              </w:rPr>
              <w:t>4分；</w:t>
            </w:r>
          </w:p>
          <w:p>
            <w:pPr>
              <w:wordWrap w:val="0"/>
              <w:autoSpaceDE w:val="0"/>
              <w:autoSpaceDN w:val="0"/>
              <w:snapToGrid w:val="0"/>
              <w:spacing w:line="360" w:lineRule="exact"/>
              <w:rPr>
                <w:rFonts w:ascii="仿宋_GB2312" w:hAnsi="仿宋" w:eastAsia="仿宋_GB2312"/>
                <w:color w:val="000000"/>
                <w:sz w:val="24"/>
                <w:szCs w:val="24"/>
                <w:lang w:val="zh-CN"/>
              </w:rPr>
            </w:pPr>
            <w:r>
              <w:rPr>
                <w:rFonts w:ascii="仿宋_GB2312" w:hAnsi="仿宋" w:eastAsia="仿宋_GB2312"/>
                <w:sz w:val="24"/>
                <w:szCs w:val="24"/>
                <w:lang w:val="zh-CN"/>
              </w:rPr>
              <w:t>提供</w:t>
            </w:r>
            <w:r>
              <w:rPr>
                <w:rFonts w:hint="eastAsia" w:ascii="仿宋_GB2312" w:hAnsi="仿宋" w:eastAsia="仿宋_GB2312"/>
                <w:sz w:val="24"/>
                <w:szCs w:val="24"/>
                <w:lang w:val="en-US" w:eastAsia="zh-CN"/>
              </w:rPr>
              <w:t>近2年以来的类似工程业绩合同，每个业绩</w:t>
            </w:r>
            <w:r>
              <w:rPr>
                <w:rFonts w:ascii="仿宋_GB2312" w:hAnsi="仿宋" w:eastAsia="仿宋_GB2312"/>
                <w:sz w:val="24"/>
                <w:szCs w:val="24"/>
                <w:lang w:val="zh-CN"/>
              </w:rPr>
              <w:t>得基本分</w:t>
            </w:r>
            <w:r>
              <w:rPr>
                <w:rFonts w:hint="eastAsia" w:ascii="仿宋_GB2312" w:hAnsi="仿宋" w:eastAsia="仿宋_GB2312"/>
                <w:sz w:val="24"/>
                <w:szCs w:val="24"/>
                <w:lang w:val="en-US" w:eastAsia="zh-CN"/>
              </w:rPr>
              <w:t>2</w:t>
            </w:r>
            <w:r>
              <w:rPr>
                <w:rFonts w:ascii="仿宋_GB2312" w:hAnsi="仿宋" w:eastAsia="仿宋_GB2312"/>
                <w:sz w:val="24"/>
                <w:szCs w:val="24"/>
                <w:lang w:val="zh-CN"/>
              </w:rPr>
              <w:t>分，满分20分。</w:t>
            </w:r>
          </w:p>
        </w:tc>
      </w:tr>
    </w:tbl>
    <w:p>
      <w:pPr>
        <w:pStyle w:val="3"/>
        <w:ind w:firstLine="600"/>
        <w:rPr>
          <w:rFonts w:hint="eastAsia" w:ascii="仿宋_GB2312" w:eastAsia="仿宋_GB2312" w:hAnsiTheme="minorHAnsi" w:cstheme="minorBidi"/>
          <w:b w:val="0"/>
          <w:bCs w:val="0"/>
          <w:kern w:val="2"/>
          <w:sz w:val="30"/>
          <w:szCs w:val="30"/>
          <w:lang w:val="en-US" w:eastAsia="zh-CN" w:bidi="ar-SA"/>
        </w:rPr>
      </w:pPr>
      <w:r>
        <w:rPr>
          <w:rFonts w:hint="eastAsia" w:ascii="仿宋_GB2312" w:eastAsia="仿宋_GB2312" w:cstheme="minorBidi"/>
          <w:b w:val="0"/>
          <w:bCs w:val="0"/>
          <w:kern w:val="2"/>
          <w:sz w:val="30"/>
          <w:szCs w:val="30"/>
          <w:lang w:val="en-US" w:eastAsia="zh-CN" w:bidi="ar-SA"/>
        </w:rPr>
        <w:t>3</w:t>
      </w:r>
      <w:r>
        <w:rPr>
          <w:rFonts w:hint="eastAsia" w:ascii="仿宋_GB2312" w:eastAsia="仿宋_GB2312" w:hAnsiTheme="minorHAnsi" w:cstheme="minorBidi"/>
          <w:b w:val="0"/>
          <w:bCs w:val="0"/>
          <w:kern w:val="2"/>
          <w:sz w:val="30"/>
          <w:szCs w:val="30"/>
          <w:lang w:val="en-US" w:eastAsia="zh-CN" w:bidi="ar-SA"/>
        </w:rPr>
        <w:t>.3技术得分</w:t>
      </w:r>
    </w:p>
    <w:tbl>
      <w:tblPr>
        <w:tblStyle w:val="10"/>
        <w:tblW w:w="8008" w:type="dxa"/>
        <w:tblInd w:w="292" w:type="dxa"/>
        <w:tblLayout w:type="fixed"/>
        <w:tblCellMar>
          <w:top w:w="0" w:type="dxa"/>
          <w:left w:w="108" w:type="dxa"/>
          <w:bottom w:w="0" w:type="dxa"/>
          <w:right w:w="108" w:type="dxa"/>
        </w:tblCellMar>
      </w:tblPr>
      <w:tblGrid>
        <w:gridCol w:w="489"/>
        <w:gridCol w:w="859"/>
        <w:gridCol w:w="850"/>
        <w:gridCol w:w="5810"/>
      </w:tblGrid>
      <w:tr>
        <w:tblPrEx>
          <w:tblCellMar>
            <w:top w:w="0" w:type="dxa"/>
            <w:left w:w="108" w:type="dxa"/>
            <w:bottom w:w="0" w:type="dxa"/>
            <w:right w:w="108" w:type="dxa"/>
          </w:tblCellMar>
        </w:tblPrEx>
        <w:trPr>
          <w:trHeight w:val="663" w:hRule="atLeast"/>
        </w:trPr>
        <w:tc>
          <w:tcPr>
            <w:tcW w:w="1348" w:type="dxa"/>
            <w:gridSpan w:val="2"/>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85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1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179" w:hRule="atLeast"/>
        </w:trPr>
        <w:tc>
          <w:tcPr>
            <w:tcW w:w="489" w:type="dxa"/>
            <w:vMerge w:val="restart"/>
            <w:tcBorders>
              <w:left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olor w:val="000000"/>
                <w:sz w:val="24"/>
                <w:szCs w:val="24"/>
                <w:lang w:val="zh-CN"/>
              </w:rPr>
            </w:pPr>
          </w:p>
        </w:tc>
        <w:tc>
          <w:tcPr>
            <w:tcW w:w="859"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olor w:val="000000"/>
                <w:sz w:val="24"/>
                <w:szCs w:val="24"/>
                <w:lang w:val="zh-CN" w:eastAsia="zh-CN"/>
              </w:rPr>
            </w:pPr>
            <w:r>
              <w:rPr>
                <w:rFonts w:hint="eastAsia" w:ascii="仿宋_GB2312" w:hAnsi="宋体" w:eastAsia="仿宋_GB2312"/>
                <w:sz w:val="24"/>
                <w:szCs w:val="24"/>
                <w:lang w:eastAsia="zh-CN"/>
              </w:rPr>
              <w:t>方案</w:t>
            </w:r>
          </w:p>
        </w:tc>
        <w:tc>
          <w:tcPr>
            <w:tcW w:w="85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28</w:t>
            </w:r>
          </w:p>
        </w:tc>
        <w:tc>
          <w:tcPr>
            <w:tcW w:w="581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spacing w:line="360" w:lineRule="exact"/>
              <w:rPr>
                <w:rFonts w:hint="eastAsia" w:ascii="仿宋_GB2312" w:hAnsi="仿宋" w:eastAsia="仿宋_GB2312"/>
                <w:sz w:val="24"/>
                <w:szCs w:val="24"/>
              </w:rPr>
            </w:pPr>
            <w:r>
              <w:rPr>
                <w:rFonts w:hint="eastAsia" w:ascii="仿宋_GB2312" w:hAnsi="仿宋" w:eastAsia="仿宋_GB2312"/>
                <w:sz w:val="24"/>
                <w:szCs w:val="24"/>
                <w:lang w:val="en-US" w:eastAsia="zh-CN"/>
              </w:rPr>
              <w:t>1、</w:t>
            </w:r>
            <w:r>
              <w:rPr>
                <w:rFonts w:hint="eastAsia" w:ascii="仿宋_GB2312" w:hAnsi="仿宋" w:eastAsia="仿宋_GB2312"/>
                <w:sz w:val="24"/>
                <w:szCs w:val="24"/>
                <w:lang w:eastAsia="zh-CN"/>
              </w:rPr>
              <w:t>提供</w:t>
            </w:r>
            <w:r>
              <w:rPr>
                <w:rFonts w:hint="eastAsia" w:ascii="仿宋_GB2312" w:hAnsi="仿宋" w:eastAsia="仿宋_GB2312" w:cstheme="minorBidi"/>
                <w:kern w:val="2"/>
                <w:sz w:val="24"/>
                <w:szCs w:val="24"/>
                <w:u w:val="none"/>
                <w:lang w:val="zh-CN" w:eastAsia="zh-CN"/>
              </w:rPr>
              <w:t>初步实施方案</w:t>
            </w:r>
            <w:r>
              <w:rPr>
                <w:rFonts w:hint="eastAsia" w:ascii="仿宋_GB2312" w:hAnsi="仿宋" w:eastAsia="仿宋_GB2312"/>
                <w:sz w:val="24"/>
                <w:szCs w:val="24"/>
                <w:lang w:eastAsia="zh-CN"/>
              </w:rPr>
              <w:t>的，得</w:t>
            </w:r>
            <w:r>
              <w:rPr>
                <w:rFonts w:hint="eastAsia" w:ascii="仿宋_GB2312" w:hAnsi="仿宋" w:eastAsia="仿宋_GB2312"/>
                <w:sz w:val="24"/>
                <w:szCs w:val="24"/>
                <w:lang w:val="en-US" w:eastAsia="zh-CN"/>
              </w:rPr>
              <w:t>2分</w:t>
            </w:r>
            <w:r>
              <w:rPr>
                <w:rFonts w:hint="eastAsia" w:ascii="仿宋_GB2312" w:hAnsi="仿宋" w:eastAsia="仿宋_GB2312"/>
                <w:sz w:val="24"/>
                <w:szCs w:val="24"/>
              </w:rPr>
              <w:t>；</w:t>
            </w:r>
          </w:p>
          <w:p>
            <w:pPr>
              <w:wordWrap w:val="0"/>
              <w:autoSpaceDE w:val="0"/>
              <w:autoSpaceDN w:val="0"/>
              <w:snapToGrid w:val="0"/>
              <w:spacing w:line="360" w:lineRule="exact"/>
              <w:ind w:firstLine="0" w:firstLineChars="0"/>
              <w:rPr>
                <w:rFonts w:hint="eastAsia" w:ascii="仿宋_GB2312" w:hAnsi="仿宋" w:eastAsia="仿宋_GB2312"/>
                <w:sz w:val="24"/>
                <w:szCs w:val="24"/>
                <w:lang w:val="en-US" w:eastAsia="zh-CN"/>
              </w:rPr>
            </w:pPr>
            <w:r>
              <w:rPr>
                <w:rFonts w:hint="eastAsia" w:ascii="仿宋_GB2312" w:hAnsi="仿宋" w:eastAsia="仿宋_GB2312" w:cstheme="minorBidi"/>
                <w:kern w:val="2"/>
                <w:sz w:val="24"/>
                <w:szCs w:val="24"/>
                <w:u w:val="none"/>
                <w:lang w:val="en-US" w:eastAsia="zh-CN"/>
              </w:rPr>
              <w:t>包括但不限于房屋屋顶占地利用方案、</w:t>
            </w:r>
            <w:r>
              <w:rPr>
                <w:rFonts w:hint="eastAsia" w:ascii="仿宋_GB2312" w:hAnsi="仿宋" w:eastAsia="仿宋_GB2312" w:cstheme="minorBidi"/>
                <w:kern w:val="2"/>
                <w:sz w:val="24"/>
                <w:szCs w:val="24"/>
                <w:u w:val="none"/>
                <w:lang w:val="zh-CN" w:eastAsia="zh-CN"/>
              </w:rPr>
              <w:t>钢构、屋顶加固措施初步方案、光伏组件、电缆、充电设备等的配置方案、运营</w:t>
            </w:r>
            <w:r>
              <w:rPr>
                <w:rFonts w:hint="eastAsia" w:ascii="仿宋_GB2312" w:hAnsi="仿宋" w:eastAsia="仿宋_GB2312" w:cstheme="minorBidi"/>
                <w:kern w:val="2"/>
                <w:sz w:val="24"/>
                <w:szCs w:val="24"/>
                <w:u w:val="none"/>
                <w:lang w:val="en-US" w:eastAsia="zh-CN"/>
              </w:rPr>
              <w:t>等内容，方案全面、可行的</w:t>
            </w:r>
            <w:r>
              <w:rPr>
                <w:rFonts w:hint="eastAsia" w:ascii="仿宋_GB2312" w:hAnsi="仿宋" w:eastAsia="仿宋_GB2312"/>
                <w:sz w:val="24"/>
                <w:szCs w:val="24"/>
                <w:lang w:eastAsia="zh-CN"/>
              </w:rPr>
              <w:t>，</w:t>
            </w:r>
            <w:r>
              <w:rPr>
                <w:rFonts w:hint="eastAsia" w:ascii="仿宋_GB2312" w:hAnsi="仿宋" w:eastAsia="仿宋_GB2312"/>
                <w:sz w:val="24"/>
                <w:szCs w:val="24"/>
              </w:rPr>
              <w:t>评委根据</w:t>
            </w:r>
            <w:r>
              <w:rPr>
                <w:rFonts w:hint="eastAsia" w:ascii="仿宋_GB2312" w:hAnsi="仿宋" w:eastAsia="仿宋_GB2312"/>
                <w:sz w:val="24"/>
                <w:szCs w:val="24"/>
                <w:lang w:eastAsia="zh-CN"/>
              </w:rPr>
              <w:t>文件</w:t>
            </w:r>
            <w:r>
              <w:rPr>
                <w:rFonts w:hint="eastAsia" w:ascii="仿宋_GB2312" w:hAnsi="仿宋" w:eastAsia="仿宋_GB2312"/>
                <w:sz w:val="24"/>
                <w:szCs w:val="24"/>
              </w:rPr>
              <w:t>情况酌情得0-</w:t>
            </w:r>
            <w:r>
              <w:rPr>
                <w:rFonts w:hint="eastAsia" w:ascii="仿宋_GB2312" w:hAnsi="仿宋" w:eastAsia="仿宋_GB2312"/>
                <w:sz w:val="24"/>
                <w:szCs w:val="24"/>
                <w:lang w:val="en-US" w:eastAsia="zh-CN"/>
              </w:rPr>
              <w:t>20</w:t>
            </w:r>
            <w:r>
              <w:rPr>
                <w:rFonts w:hint="eastAsia" w:ascii="仿宋_GB2312" w:hAnsi="仿宋" w:eastAsia="仿宋_GB2312"/>
                <w:sz w:val="24"/>
                <w:szCs w:val="24"/>
              </w:rPr>
              <w:t>分</w:t>
            </w:r>
            <w:r>
              <w:rPr>
                <w:rFonts w:hint="eastAsia" w:ascii="仿宋_GB2312" w:hAnsi="仿宋" w:eastAsia="仿宋_GB2312"/>
                <w:sz w:val="24"/>
                <w:szCs w:val="24"/>
                <w:lang w:eastAsia="zh-CN"/>
              </w:rPr>
              <w:t>。若此条缺项不得分；</w:t>
            </w:r>
          </w:p>
          <w:p>
            <w:pPr>
              <w:wordWrap w:val="0"/>
              <w:autoSpaceDE w:val="0"/>
              <w:autoSpaceDN w:val="0"/>
              <w:snapToGrid w:val="0"/>
              <w:spacing w:line="360" w:lineRule="exact"/>
              <w:rPr>
                <w:rFonts w:hint="eastAsia" w:ascii="仿宋_GB2312" w:hAnsi="仿宋" w:eastAsia="仿宋_GB2312"/>
                <w:sz w:val="24"/>
                <w:szCs w:val="24"/>
                <w:lang w:val="en-US" w:eastAsia="zh-CN"/>
              </w:rPr>
            </w:pPr>
            <w:r>
              <w:rPr>
                <w:rFonts w:hint="eastAsia" w:ascii="仿宋_GB2312" w:hAnsi="仿宋" w:eastAsia="仿宋_GB2312"/>
                <w:sz w:val="24"/>
                <w:szCs w:val="24"/>
                <w:lang w:val="en-US" w:eastAsia="zh-CN"/>
              </w:rPr>
              <w:t>2、</w:t>
            </w:r>
            <w:r>
              <w:rPr>
                <w:rFonts w:hint="eastAsia" w:ascii="仿宋_GB2312" w:hAnsi="仿宋" w:eastAsia="仿宋_GB2312"/>
                <w:sz w:val="24"/>
                <w:szCs w:val="24"/>
                <w:lang w:eastAsia="zh-CN"/>
              </w:rPr>
              <w:t>提供</w:t>
            </w:r>
            <w:r>
              <w:rPr>
                <w:rFonts w:hint="eastAsia" w:ascii="仿宋_GB2312" w:hAnsi="仿宋" w:eastAsia="仿宋_GB2312" w:cstheme="minorBidi"/>
                <w:kern w:val="2"/>
                <w:sz w:val="24"/>
                <w:szCs w:val="24"/>
                <w:u w:val="none"/>
                <w:lang w:val="zh-CN" w:eastAsia="zh-CN"/>
              </w:rPr>
              <w:t>施工、运营安全、环保方案</w:t>
            </w:r>
            <w:r>
              <w:rPr>
                <w:rFonts w:hint="eastAsia" w:ascii="仿宋_GB2312" w:hAnsi="仿宋" w:eastAsia="仿宋_GB2312"/>
                <w:sz w:val="24"/>
                <w:szCs w:val="24"/>
                <w:lang w:eastAsia="zh-CN"/>
              </w:rPr>
              <w:t>的，得</w:t>
            </w:r>
            <w:r>
              <w:rPr>
                <w:rFonts w:hint="eastAsia" w:ascii="仿宋_GB2312" w:hAnsi="仿宋" w:eastAsia="仿宋_GB2312"/>
                <w:sz w:val="24"/>
                <w:szCs w:val="24"/>
                <w:lang w:val="en-US" w:eastAsia="zh-CN"/>
              </w:rPr>
              <w:t>2分；</w:t>
            </w:r>
          </w:p>
          <w:p>
            <w:pPr>
              <w:wordWrap w:val="0"/>
              <w:autoSpaceDE w:val="0"/>
              <w:autoSpaceDN w:val="0"/>
              <w:snapToGrid w:val="0"/>
              <w:spacing w:line="360" w:lineRule="exact"/>
            </w:pPr>
            <w:r>
              <w:rPr>
                <w:rFonts w:hint="eastAsia" w:ascii="仿宋_GB2312" w:hAnsi="仿宋" w:eastAsia="仿宋_GB2312" w:cstheme="minorBidi"/>
                <w:kern w:val="2"/>
                <w:sz w:val="24"/>
                <w:szCs w:val="24"/>
                <w:u w:val="none"/>
                <w:lang w:val="zh-CN" w:eastAsia="zh-CN"/>
              </w:rPr>
              <w:t>方案包括但不限于任何可能的紧急情况的处理措施、预案以及抵抗风险（包括工程施工过程中可能遇到的各种风险）的措施、现场环境保护措施、污染处理措施等施工、运营安全方案，方案</w:t>
            </w:r>
            <w:r>
              <w:rPr>
                <w:rFonts w:hint="eastAsia" w:ascii="仿宋_GB2312" w:hAnsi="仿宋" w:eastAsia="仿宋_GB2312"/>
                <w:sz w:val="24"/>
                <w:szCs w:val="24"/>
                <w:lang w:eastAsia="zh-CN"/>
              </w:rPr>
              <w:t>合理、有效的，</w:t>
            </w:r>
            <w:r>
              <w:rPr>
                <w:rFonts w:hint="eastAsia" w:ascii="仿宋_GB2312" w:hAnsi="仿宋" w:eastAsia="仿宋_GB2312"/>
                <w:sz w:val="24"/>
                <w:szCs w:val="24"/>
              </w:rPr>
              <w:t>评委根据</w:t>
            </w:r>
            <w:r>
              <w:rPr>
                <w:rFonts w:hint="eastAsia" w:ascii="仿宋_GB2312" w:hAnsi="仿宋" w:eastAsia="仿宋_GB2312"/>
                <w:sz w:val="24"/>
                <w:szCs w:val="24"/>
                <w:lang w:eastAsia="zh-CN"/>
              </w:rPr>
              <w:t>文件</w:t>
            </w:r>
            <w:r>
              <w:rPr>
                <w:rFonts w:hint="eastAsia" w:ascii="仿宋_GB2312" w:hAnsi="仿宋" w:eastAsia="仿宋_GB2312"/>
                <w:sz w:val="24"/>
                <w:szCs w:val="24"/>
              </w:rPr>
              <w:t>情况酌情得0-</w:t>
            </w:r>
            <w:r>
              <w:rPr>
                <w:rFonts w:hint="eastAsia" w:ascii="仿宋_GB2312" w:hAnsi="仿宋" w:eastAsia="仿宋_GB2312"/>
                <w:sz w:val="24"/>
                <w:szCs w:val="24"/>
                <w:lang w:val="en-US" w:eastAsia="zh-CN"/>
              </w:rPr>
              <w:t>4</w:t>
            </w:r>
            <w:r>
              <w:rPr>
                <w:rFonts w:hint="eastAsia" w:ascii="仿宋_GB2312" w:hAnsi="仿宋" w:eastAsia="仿宋_GB2312"/>
                <w:sz w:val="24"/>
                <w:szCs w:val="24"/>
              </w:rPr>
              <w:t>分</w:t>
            </w:r>
            <w:r>
              <w:rPr>
                <w:rFonts w:hint="eastAsia" w:ascii="仿宋_GB2312" w:hAnsi="仿宋" w:eastAsia="仿宋_GB2312"/>
                <w:sz w:val="24"/>
                <w:szCs w:val="24"/>
                <w:lang w:eastAsia="zh-CN"/>
              </w:rPr>
              <w:t>。</w:t>
            </w:r>
          </w:p>
          <w:p>
            <w:pPr>
              <w:wordWrap w:val="0"/>
              <w:autoSpaceDE w:val="0"/>
              <w:autoSpaceDN w:val="0"/>
              <w:snapToGrid w:val="0"/>
              <w:spacing w:line="360" w:lineRule="exact"/>
              <w:rPr>
                <w:rFonts w:hint="eastAsia"/>
                <w:lang w:val="zh-CN" w:eastAsia="zh-CN"/>
              </w:rPr>
            </w:pPr>
            <w:r>
              <w:rPr>
                <w:rFonts w:hint="eastAsia" w:ascii="仿宋_GB2312" w:hAnsi="仿宋" w:eastAsia="仿宋_GB2312"/>
                <w:sz w:val="24"/>
                <w:szCs w:val="24"/>
                <w:lang w:eastAsia="zh-CN"/>
              </w:rPr>
              <w:t>若此条缺项不得分；</w:t>
            </w:r>
          </w:p>
        </w:tc>
      </w:tr>
      <w:tr>
        <w:tblPrEx>
          <w:tblCellMar>
            <w:top w:w="0" w:type="dxa"/>
            <w:left w:w="108" w:type="dxa"/>
            <w:bottom w:w="0" w:type="dxa"/>
            <w:right w:w="108" w:type="dxa"/>
          </w:tblCellMar>
        </w:tblPrEx>
        <w:trPr>
          <w:trHeight w:val="1177" w:hRule="atLeast"/>
        </w:trPr>
        <w:tc>
          <w:tcPr>
            <w:tcW w:w="489" w:type="dxa"/>
            <w:vMerge w:val="continue"/>
            <w:tcBorders>
              <w:left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olor w:val="000000"/>
                <w:sz w:val="24"/>
                <w:szCs w:val="24"/>
                <w:lang w:val="zh-CN"/>
              </w:rPr>
            </w:pPr>
          </w:p>
        </w:tc>
        <w:tc>
          <w:tcPr>
            <w:tcW w:w="859" w:type="dxa"/>
            <w:tcBorders>
              <w:top w:val="single" w:color="auto" w:sz="6" w:space="0"/>
              <w:left w:val="single" w:color="auto" w:sz="6" w:space="0"/>
              <w:bottom w:val="single" w:color="auto" w:sz="6" w:space="0"/>
              <w:right w:val="single" w:color="auto" w:sz="6" w:space="0"/>
            </w:tcBorders>
            <w:noWrap w:val="0"/>
            <w:vAlign w:val="center"/>
          </w:tcPr>
          <w:p>
            <w:pPr>
              <w:spacing w:line="360" w:lineRule="exact"/>
              <w:jc w:val="center"/>
              <w:rPr>
                <w:rFonts w:ascii="仿宋_GB2312" w:hAnsi="宋体" w:eastAsia="仿宋_GB2312"/>
                <w:sz w:val="24"/>
                <w:szCs w:val="24"/>
              </w:rPr>
            </w:pPr>
            <w:r>
              <w:rPr>
                <w:rFonts w:hint="eastAsia" w:ascii="仿宋_GB2312" w:hAnsi="宋体" w:eastAsia="仿宋_GB2312"/>
                <w:sz w:val="24"/>
                <w:szCs w:val="24"/>
                <w:lang w:val="zh-CN" w:eastAsia="zh-CN"/>
              </w:rPr>
              <w:t>施工总进度计划及保证措施</w:t>
            </w:r>
          </w:p>
        </w:tc>
        <w:tc>
          <w:tcPr>
            <w:tcW w:w="850" w:type="dxa"/>
            <w:tcBorders>
              <w:top w:val="single" w:color="auto" w:sz="6" w:space="0"/>
              <w:left w:val="single" w:color="auto" w:sz="6" w:space="0"/>
              <w:bottom w:val="single" w:color="auto" w:sz="6" w:space="0"/>
              <w:right w:val="single" w:color="auto" w:sz="6" w:space="0"/>
            </w:tcBorders>
            <w:noWrap w:val="0"/>
            <w:vAlign w:val="center"/>
          </w:tcPr>
          <w:p>
            <w:pPr>
              <w:spacing w:line="36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3</w:t>
            </w:r>
          </w:p>
        </w:tc>
        <w:tc>
          <w:tcPr>
            <w:tcW w:w="581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val="0"/>
              <w:spacing w:line="360" w:lineRule="exact"/>
              <w:rPr>
                <w:rFonts w:hint="eastAsia" w:ascii="仿宋_GB2312" w:hAnsi="宋体" w:eastAsia="仿宋_GB2312"/>
                <w:sz w:val="24"/>
                <w:szCs w:val="24"/>
                <w:lang w:val="en-US" w:eastAsia="zh-CN"/>
              </w:rPr>
            </w:pPr>
            <w:r>
              <w:rPr>
                <w:rFonts w:hint="eastAsia" w:ascii="仿宋_GB2312" w:hAnsi="宋体" w:eastAsia="仿宋_GB2312"/>
                <w:sz w:val="24"/>
                <w:szCs w:val="24"/>
                <w:lang w:eastAsia="zh-CN"/>
              </w:rPr>
              <w:t>提供</w:t>
            </w:r>
            <w:r>
              <w:rPr>
                <w:rFonts w:hint="eastAsia" w:ascii="仿宋_GB2312" w:hAnsi="宋体" w:eastAsia="仿宋_GB2312"/>
                <w:sz w:val="24"/>
                <w:szCs w:val="24"/>
                <w:lang w:val="zh-CN" w:eastAsia="zh-CN"/>
              </w:rPr>
              <w:t>施工总进度计划及保障措施的，</w:t>
            </w:r>
            <w:r>
              <w:rPr>
                <w:rFonts w:hint="eastAsia" w:ascii="仿宋_GB2312" w:hAnsi="宋体" w:eastAsia="仿宋_GB2312"/>
                <w:sz w:val="24"/>
                <w:szCs w:val="24"/>
                <w:lang w:eastAsia="zh-CN"/>
              </w:rPr>
              <w:t>得</w:t>
            </w:r>
            <w:r>
              <w:rPr>
                <w:rFonts w:hint="eastAsia" w:ascii="仿宋_GB2312" w:hAnsi="宋体" w:eastAsia="仿宋_GB2312"/>
                <w:sz w:val="24"/>
                <w:szCs w:val="24"/>
                <w:lang w:val="en-US" w:eastAsia="zh-CN"/>
              </w:rPr>
              <w:t>1分；</w:t>
            </w:r>
          </w:p>
          <w:p>
            <w:pPr>
              <w:autoSpaceDE w:val="0"/>
              <w:autoSpaceDN w:val="0"/>
              <w:snapToGrid w:val="0"/>
              <w:spacing w:line="360" w:lineRule="exact"/>
              <w:rPr>
                <w:rFonts w:hint="eastAsia" w:ascii="仿宋_GB2312" w:hAnsi="宋体" w:eastAsia="仿宋_GB2312"/>
                <w:sz w:val="24"/>
                <w:szCs w:val="24"/>
                <w:lang w:eastAsia="zh-CN"/>
              </w:rPr>
            </w:pPr>
            <w:r>
              <w:rPr>
                <w:rFonts w:hint="eastAsia" w:ascii="仿宋_GB2312" w:hAnsi="宋体" w:eastAsia="仿宋_GB2312" w:cstheme="minorBidi"/>
                <w:kern w:val="2"/>
                <w:sz w:val="24"/>
                <w:szCs w:val="24"/>
                <w:u w:val="none"/>
                <w:lang w:val="zh-CN" w:eastAsia="zh-CN"/>
              </w:rPr>
              <w:t>包括但不限于横道图、办理手续计划、方案设计提供、施工及其他保证措施等内容，</w:t>
            </w:r>
            <w:r>
              <w:rPr>
                <w:rFonts w:hint="eastAsia" w:ascii="仿宋_GB2312" w:hAnsi="宋体" w:eastAsia="仿宋_GB2312"/>
                <w:sz w:val="24"/>
                <w:szCs w:val="24"/>
                <w:lang w:val="zh-CN" w:eastAsia="zh-CN"/>
              </w:rPr>
              <w:t>施工总进度计划</w:t>
            </w:r>
            <w:r>
              <w:rPr>
                <w:rFonts w:hint="eastAsia" w:ascii="仿宋_GB2312" w:hAnsi="宋体" w:eastAsia="仿宋_GB2312"/>
                <w:sz w:val="24"/>
                <w:szCs w:val="24"/>
                <w:lang w:eastAsia="zh-CN"/>
              </w:rPr>
              <w:t>及保障措施详尽、可行的，评委根据文件情况酌情得0-</w:t>
            </w:r>
            <w:r>
              <w:rPr>
                <w:rFonts w:hint="eastAsia" w:ascii="仿宋_GB2312" w:hAnsi="宋体" w:eastAsia="仿宋_GB2312"/>
                <w:sz w:val="24"/>
                <w:szCs w:val="24"/>
                <w:lang w:val="en-US" w:eastAsia="zh-CN"/>
              </w:rPr>
              <w:t>2</w:t>
            </w:r>
            <w:r>
              <w:rPr>
                <w:rFonts w:hint="eastAsia" w:ascii="仿宋_GB2312" w:hAnsi="宋体" w:eastAsia="仿宋_GB2312"/>
                <w:sz w:val="24"/>
                <w:szCs w:val="24"/>
                <w:lang w:eastAsia="zh-CN"/>
              </w:rPr>
              <w:t>分；</w:t>
            </w:r>
          </w:p>
          <w:p>
            <w:pPr>
              <w:autoSpaceDE w:val="0"/>
              <w:autoSpaceDN w:val="0"/>
              <w:snapToGrid w:val="0"/>
              <w:spacing w:line="360" w:lineRule="exact"/>
            </w:pPr>
            <w:r>
              <w:rPr>
                <w:rFonts w:hint="eastAsia" w:ascii="仿宋_GB2312" w:hAnsi="宋体" w:eastAsia="仿宋_GB2312"/>
                <w:sz w:val="24"/>
                <w:szCs w:val="24"/>
                <w:lang w:eastAsia="zh-CN"/>
              </w:rPr>
              <w:t>若此条缺项不得分。</w:t>
            </w:r>
          </w:p>
        </w:tc>
      </w:tr>
    </w:tbl>
    <w:p>
      <w:pPr>
        <w:ind w:firstLine="560" w:firstLineChars="200"/>
        <w:rPr>
          <w:rFonts w:hint="eastAsia" w:ascii="仿宋" w:hAnsi="仿宋" w:eastAsia="仿宋" w:cs="仿宋"/>
          <w:sz w:val="28"/>
          <w:szCs w:val="28"/>
        </w:rPr>
      </w:pPr>
      <w:r>
        <w:rPr>
          <w:rFonts w:hint="eastAsia" w:ascii="仿宋" w:hAnsi="仿宋" w:eastAsia="仿宋" w:cs="仿宋"/>
          <w:sz w:val="28"/>
          <w:szCs w:val="28"/>
        </w:rPr>
        <w:t>五、中标人的确定</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通过审查、考核、评比，评标委员会按照供应商的综合得分多少由高到低进行排序，并形成评标报告</w:t>
      </w:r>
      <w:r>
        <w:rPr>
          <w:rFonts w:hint="eastAsia" w:ascii="仿宋" w:hAnsi="仿宋" w:eastAsia="仿宋" w:cs="仿宋"/>
          <w:sz w:val="28"/>
          <w:szCs w:val="28"/>
          <w:lang w:eastAsia="zh-CN"/>
        </w:rPr>
        <w:t>，</w:t>
      </w:r>
      <w:r>
        <w:rPr>
          <w:rFonts w:hint="eastAsia" w:ascii="仿宋" w:hAnsi="仿宋" w:eastAsia="仿宋" w:cs="仿宋"/>
          <w:sz w:val="28"/>
          <w:szCs w:val="28"/>
        </w:rPr>
        <w:t>采购人根据评标委员会提出的书面评标报告和推荐的中标候选人经核查合格后确定中标人。</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排名第一的中标候选人放弃中标、因不可抗力不能履行合同</w:t>
      </w:r>
      <w:r>
        <w:rPr>
          <w:rFonts w:hint="eastAsia" w:ascii="仿宋" w:hAnsi="仿宋" w:eastAsia="仿宋" w:cs="仿宋"/>
          <w:sz w:val="28"/>
          <w:szCs w:val="28"/>
          <w:lang w:eastAsia="zh-CN"/>
        </w:rPr>
        <w:t>，或者</w:t>
      </w:r>
      <w:r>
        <w:rPr>
          <w:rFonts w:hint="eastAsia" w:ascii="仿宋" w:hAnsi="仿宋" w:eastAsia="仿宋" w:cs="仿宋"/>
          <w:sz w:val="28"/>
          <w:szCs w:val="28"/>
        </w:rPr>
        <w:t>被查实存在影响中标结果的违法行为等情形，不符合中标条件的，招标人可以按照评标委员会提出的中标候选人名单排序依次确定其他中标候选人为中标人，也可以重新招标。</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六、评标纪律</w:t>
      </w:r>
    </w:p>
    <w:p>
      <w:pPr>
        <w:ind w:firstLine="556" w:firstLineChars="200"/>
        <w:rPr>
          <w:rFonts w:hint="eastAsia" w:ascii="仿宋" w:hAnsi="仿宋" w:eastAsia="仿宋" w:cs="仿宋"/>
          <w:sz w:val="28"/>
          <w:szCs w:val="28"/>
        </w:rPr>
      </w:pPr>
      <w:r>
        <w:rPr>
          <w:rFonts w:hint="eastAsia" w:ascii="仿宋" w:hAnsi="仿宋" w:eastAsia="仿宋" w:cs="仿宋"/>
          <w:spacing w:val="-1"/>
          <w:sz w:val="28"/>
          <w:szCs w:val="28"/>
        </w:rPr>
        <w:t>（一）</w:t>
      </w:r>
      <w:r>
        <w:rPr>
          <w:rFonts w:hint="eastAsia" w:ascii="仿宋" w:hAnsi="仿宋" w:eastAsia="仿宋" w:cs="仿宋"/>
          <w:spacing w:val="-10"/>
          <w:sz w:val="28"/>
          <w:szCs w:val="28"/>
        </w:rPr>
        <w:t>评标是招标工作的重要环节，评标工作在评标委员会内独立进行。评标</w:t>
      </w:r>
      <w:r>
        <w:rPr>
          <w:rFonts w:hint="eastAsia" w:ascii="仿宋" w:hAnsi="仿宋" w:eastAsia="仿宋" w:cs="仿宋"/>
          <w:spacing w:val="-4"/>
          <w:sz w:val="28"/>
          <w:szCs w:val="28"/>
        </w:rPr>
        <w:t>委员会将按照评标原则的要求，公正、平等地对待所有供应商。</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（二）所有评标人员应忠于职守、廉洁自律、秉公办事、不徇私情。</w:t>
      </w:r>
    </w:p>
    <w:p>
      <w:pPr>
        <w:ind w:firstLine="556" w:firstLineChars="200"/>
        <w:rPr>
          <w:rFonts w:hint="eastAsia" w:ascii="仿宋" w:hAnsi="仿宋" w:eastAsia="仿宋" w:cs="仿宋"/>
          <w:sz w:val="28"/>
          <w:szCs w:val="28"/>
        </w:rPr>
      </w:pPr>
      <w:r>
        <w:rPr>
          <w:rFonts w:hint="eastAsia" w:ascii="仿宋" w:hAnsi="仿宋" w:eastAsia="仿宋" w:cs="仿宋"/>
          <w:spacing w:val="-1"/>
          <w:sz w:val="28"/>
          <w:szCs w:val="28"/>
        </w:rPr>
        <w:t>（三）</w:t>
      </w:r>
      <w:r>
        <w:rPr>
          <w:rFonts w:hint="eastAsia" w:ascii="仿宋" w:hAnsi="仿宋" w:eastAsia="仿宋" w:cs="仿宋"/>
          <w:spacing w:val="-10"/>
          <w:sz w:val="28"/>
          <w:szCs w:val="28"/>
        </w:rPr>
        <w:t>评标人员不得接受或参加供应商或与投标有关的单位、组织或个人的有</w:t>
      </w:r>
      <w:r>
        <w:rPr>
          <w:rFonts w:hint="eastAsia" w:ascii="仿宋" w:hAnsi="仿宋" w:eastAsia="仿宋" w:cs="仿宋"/>
          <w:spacing w:val="-4"/>
          <w:sz w:val="28"/>
          <w:szCs w:val="28"/>
        </w:rPr>
        <w:t>碍公务的宴请、娱乐活动等，不得以任何形式弄虚作假。</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（四）评标期间，评委不得随意与外界通讯、会客等。</w:t>
      </w:r>
    </w:p>
    <w:p>
      <w:pPr>
        <w:ind w:firstLine="556" w:firstLineChars="200"/>
        <w:rPr>
          <w:rFonts w:hint="eastAsia" w:ascii="仿宋" w:hAnsi="仿宋" w:eastAsia="仿宋" w:cs="仿宋"/>
          <w:sz w:val="28"/>
          <w:szCs w:val="28"/>
        </w:rPr>
      </w:pPr>
      <w:r>
        <w:rPr>
          <w:rFonts w:hint="eastAsia" w:ascii="仿宋" w:hAnsi="仿宋" w:eastAsia="仿宋" w:cs="仿宋"/>
          <w:spacing w:val="-1"/>
          <w:sz w:val="28"/>
          <w:szCs w:val="28"/>
        </w:rPr>
        <w:t>（五）</w:t>
      </w:r>
      <w:r>
        <w:rPr>
          <w:rFonts w:hint="eastAsia" w:ascii="仿宋" w:hAnsi="仿宋" w:eastAsia="仿宋" w:cs="仿宋"/>
          <w:spacing w:val="-11"/>
          <w:sz w:val="28"/>
          <w:szCs w:val="28"/>
        </w:rPr>
        <w:t>在投标文件的审查、澄清、评价和比较以及授予合同的过程中，供应商</w:t>
      </w:r>
      <w:r>
        <w:rPr>
          <w:rFonts w:hint="eastAsia" w:ascii="仿宋" w:hAnsi="仿宋" w:eastAsia="仿宋" w:cs="仿宋"/>
          <w:spacing w:val="-5"/>
          <w:sz w:val="28"/>
          <w:szCs w:val="28"/>
        </w:rPr>
        <w:t>对采购人及评标委员会其他成员施加影响的任何行为，都将导致被取消投标资格。</w:t>
      </w:r>
    </w:p>
    <w:p>
      <w:pPr>
        <w:ind w:firstLine="556" w:firstLineChars="200"/>
        <w:rPr>
          <w:rFonts w:hint="eastAsia" w:ascii="仿宋" w:hAnsi="仿宋" w:eastAsia="仿宋" w:cs="仿宋"/>
          <w:sz w:val="28"/>
          <w:szCs w:val="28"/>
        </w:rPr>
      </w:pPr>
      <w:r>
        <w:rPr>
          <w:rFonts w:hint="eastAsia" w:ascii="仿宋" w:hAnsi="仿宋" w:eastAsia="仿宋" w:cs="仿宋"/>
          <w:spacing w:val="-1"/>
          <w:sz w:val="28"/>
          <w:szCs w:val="28"/>
        </w:rPr>
        <w:t>（六）</w:t>
      </w:r>
      <w:r>
        <w:rPr>
          <w:rFonts w:hint="eastAsia" w:ascii="仿宋" w:hAnsi="仿宋" w:eastAsia="仿宋" w:cs="仿宋"/>
          <w:spacing w:val="-12"/>
          <w:sz w:val="28"/>
          <w:szCs w:val="28"/>
        </w:rPr>
        <w:t>为保证定标的公正性，在评标过程中，评委不得与供应商或招标结果有</w:t>
      </w:r>
      <w:r>
        <w:rPr>
          <w:rFonts w:hint="eastAsia" w:ascii="仿宋" w:hAnsi="仿宋" w:eastAsia="仿宋" w:cs="仿宋"/>
          <w:spacing w:val="-5"/>
          <w:sz w:val="28"/>
          <w:szCs w:val="28"/>
        </w:rPr>
        <w:t>利害关系的人进行私下接触。在评标工作结束后，凡与评标情况有接触的任何</w:t>
      </w:r>
      <w:r>
        <w:rPr>
          <w:rFonts w:hint="eastAsia" w:ascii="仿宋" w:hAnsi="仿宋" w:eastAsia="仿宋" w:cs="仿宋"/>
          <w:spacing w:val="-3"/>
          <w:sz w:val="28"/>
          <w:szCs w:val="28"/>
        </w:rPr>
        <w:t>人，不得将评标情况扩散出评标委员会以外。</w:t>
      </w:r>
    </w:p>
    <w:p>
      <w:pPr>
        <w:ind w:firstLine="556" w:firstLineChars="200"/>
        <w:rPr>
          <w:rFonts w:hint="eastAsia" w:ascii="仿宋" w:hAnsi="仿宋" w:eastAsia="仿宋" w:cs="仿宋"/>
          <w:sz w:val="28"/>
          <w:szCs w:val="28"/>
        </w:rPr>
      </w:pPr>
      <w:r>
        <w:rPr>
          <w:rFonts w:hint="eastAsia" w:ascii="仿宋" w:hAnsi="仿宋" w:eastAsia="仿宋" w:cs="仿宋"/>
          <w:spacing w:val="-1"/>
          <w:sz w:val="28"/>
          <w:szCs w:val="28"/>
        </w:rPr>
        <w:t>（七）</w:t>
      </w:r>
      <w:r>
        <w:rPr>
          <w:rFonts w:hint="eastAsia" w:ascii="仿宋" w:hAnsi="仿宋" w:eastAsia="仿宋" w:cs="仿宋"/>
          <w:spacing w:val="-11"/>
          <w:sz w:val="28"/>
          <w:szCs w:val="28"/>
        </w:rPr>
        <w:t>评标结束后，各评标人员应将全部资料整理上交采购人，严禁将评标过</w:t>
      </w:r>
      <w:r>
        <w:rPr>
          <w:rFonts w:hint="eastAsia" w:ascii="仿宋" w:hAnsi="仿宋" w:eastAsia="仿宋" w:cs="仿宋"/>
          <w:spacing w:val="-5"/>
          <w:sz w:val="28"/>
          <w:szCs w:val="28"/>
        </w:rPr>
        <w:t>程中的任何资料带出评标现场向供应商或其他单位提供。</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（八）评标委员会对各供应商的商业秘密予以保密。</w:t>
      </w:r>
    </w:p>
    <w:p>
      <w:pPr>
        <w:ind w:firstLine="556" w:firstLineChars="200"/>
        <w:rPr>
          <w:rFonts w:hint="eastAsia" w:ascii="仿宋" w:hAnsi="仿宋" w:eastAsia="仿宋" w:cs="仿宋"/>
          <w:sz w:val="28"/>
          <w:szCs w:val="28"/>
        </w:rPr>
      </w:pPr>
      <w:r>
        <w:rPr>
          <w:rFonts w:hint="eastAsia" w:ascii="仿宋" w:hAnsi="仿宋" w:eastAsia="仿宋" w:cs="仿宋"/>
          <w:spacing w:val="-1"/>
          <w:sz w:val="28"/>
          <w:szCs w:val="28"/>
        </w:rPr>
        <w:t>（九）</w:t>
      </w:r>
      <w:r>
        <w:rPr>
          <w:rFonts w:hint="eastAsia" w:ascii="仿宋" w:hAnsi="仿宋" w:eastAsia="仿宋" w:cs="仿宋"/>
          <w:spacing w:val="-10"/>
          <w:sz w:val="28"/>
          <w:szCs w:val="28"/>
        </w:rPr>
        <w:t>评标委员会成员应当客观、公正地履行职责，遵守职业道德，对所提出</w:t>
      </w:r>
      <w:r>
        <w:rPr>
          <w:rFonts w:hint="eastAsia" w:ascii="仿宋" w:hAnsi="仿宋" w:eastAsia="仿宋" w:cs="仿宋"/>
          <w:spacing w:val="-4"/>
          <w:sz w:val="28"/>
          <w:szCs w:val="28"/>
        </w:rPr>
        <w:t>的评审意见承担个人责任。</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（十）在整个评标过程中，供应商企图影响招标结果的任何活动，可能导致投标失败。如有违法行为，将依法追究其法律责任。</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七、中标通知书</w:t>
      </w:r>
    </w:p>
    <w:p>
      <w:pPr>
        <w:ind w:firstLine="492" w:firstLineChars="200"/>
        <w:rPr>
          <w:rFonts w:hint="eastAsia" w:ascii="仿宋" w:hAnsi="仿宋" w:eastAsia="仿宋" w:cs="仿宋"/>
          <w:spacing w:val="-17"/>
          <w:sz w:val="28"/>
          <w:szCs w:val="28"/>
        </w:rPr>
      </w:pPr>
      <w:r>
        <w:rPr>
          <w:rFonts w:hint="eastAsia" w:ascii="仿宋" w:hAnsi="仿宋" w:eastAsia="仿宋" w:cs="仿宋"/>
          <w:spacing w:val="-17"/>
          <w:sz w:val="28"/>
          <w:szCs w:val="28"/>
        </w:rPr>
        <w:t>评标结束并确定中标结果后，向中标人签发《中标通知书》。</w:t>
      </w:r>
      <w:bookmarkStart w:id="6" w:name="_bookmark4"/>
      <w:bookmarkEnd w:id="6"/>
      <w:bookmarkStart w:id="7" w:name="第五部分___授予合同"/>
      <w:bookmarkEnd w:id="7"/>
    </w:p>
    <w:p>
      <w:pPr>
        <w:pStyle w:val="15"/>
        <w:rPr>
          <w:rFonts w:hint="eastAsia" w:ascii="仿宋_GB2312" w:hAnsi="Times New Roman" w:eastAsia="仿宋_GB2312" w:cs="Times New Roman"/>
          <w:spacing w:val="-17"/>
          <w:sz w:val="32"/>
          <w:szCs w:val="32"/>
        </w:rPr>
      </w:pPr>
    </w:p>
    <w:p>
      <w:pPr>
        <w:pStyle w:val="15"/>
        <w:rPr>
          <w:rFonts w:hint="eastAsia" w:ascii="仿宋_GB2312" w:hAnsi="Times New Roman" w:eastAsia="仿宋_GB2312" w:cs="Times New Roman"/>
          <w:spacing w:val="-17"/>
          <w:sz w:val="32"/>
          <w:szCs w:val="32"/>
        </w:rPr>
      </w:pPr>
    </w:p>
    <w:p>
      <w:pPr>
        <w:rPr>
          <w:rFonts w:hint="eastAsia" w:ascii="仿宋_GB2312" w:hAnsi="仿宋_GB2312" w:eastAsia="仿宋_GB2312" w:cs="仿宋_GB2312"/>
          <w:spacing w:val="-17"/>
          <w:sz w:val="32"/>
          <w:szCs w:val="32"/>
          <w:lang w:val="en-US"/>
        </w:rPr>
      </w:pPr>
      <w:r>
        <w:rPr>
          <w:rFonts w:hint="eastAsia" w:ascii="仿宋_GB2312" w:hAnsi="仿宋_GB2312" w:eastAsia="仿宋_GB2312" w:cs="仿宋_GB2312"/>
          <w:sz w:val="32"/>
          <w:szCs w:val="32"/>
          <w:lang w:eastAsia="zh-CN"/>
        </w:rPr>
        <w:t>附表</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：报价单</w:t>
      </w:r>
    </w:p>
    <w:tbl>
      <w:tblPr>
        <w:tblStyle w:val="10"/>
        <w:tblpPr w:leftFromText="180" w:rightFromText="180" w:vertAnchor="text" w:horzAnchor="page" w:tblpX="1718" w:tblpY="352"/>
        <w:tblOverlap w:val="never"/>
        <w:tblW w:w="7940" w:type="dxa"/>
        <w:tblInd w:w="0" w:type="dxa"/>
        <w:shd w:val="clear" w:color="auto" w:fill="auto"/>
        <w:tblLayout w:type="fixed"/>
        <w:tblCellMar>
          <w:top w:w="0" w:type="dxa"/>
          <w:left w:w="108" w:type="dxa"/>
          <w:bottom w:w="0" w:type="dxa"/>
          <w:right w:w="108" w:type="dxa"/>
        </w:tblCellMar>
      </w:tblPr>
      <w:tblGrid>
        <w:gridCol w:w="716"/>
        <w:gridCol w:w="1140"/>
        <w:gridCol w:w="458"/>
        <w:gridCol w:w="1632"/>
        <w:gridCol w:w="1779"/>
        <w:gridCol w:w="2215"/>
      </w:tblGrid>
      <w:tr>
        <w:tblPrEx>
          <w:shd w:val="clear" w:color="auto" w:fill="auto"/>
          <w:tblCellMar>
            <w:top w:w="0" w:type="dxa"/>
            <w:left w:w="108" w:type="dxa"/>
            <w:bottom w:w="0" w:type="dxa"/>
            <w:right w:w="108" w:type="dxa"/>
          </w:tblCellMar>
        </w:tblPrEx>
        <w:trPr>
          <w:trHeight w:val="474" w:hRule="atLeast"/>
        </w:trPr>
        <w:tc>
          <w:tcPr>
            <w:tcW w:w="7940" w:type="dxa"/>
            <w:gridSpan w:val="6"/>
            <w:vMerge w:val="restart"/>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lang w:val="zh-CN"/>
              </w:rPr>
            </w:pPr>
            <w:r>
              <w:rPr>
                <w:rFonts w:hint="eastAsia" w:ascii="仿宋_GB2312" w:hAnsi="仿宋_GB2312" w:eastAsia="仿宋_GB2312" w:cs="仿宋_GB2312"/>
                <w:b/>
                <w:bCs/>
                <w:sz w:val="36"/>
                <w:szCs w:val="36"/>
                <w:lang w:val="zh-CN"/>
              </w:rPr>
              <w:t>山东</w:t>
            </w:r>
            <w:r>
              <w:rPr>
                <w:rFonts w:hint="eastAsia" w:ascii="仿宋_GB2312" w:hAnsi="仿宋_GB2312" w:eastAsia="仿宋_GB2312" w:cs="仿宋_GB2312"/>
                <w:b/>
                <w:bCs/>
                <w:sz w:val="36"/>
                <w:szCs w:val="36"/>
                <w:lang w:val="zh-CN" w:eastAsia="zh-CN"/>
              </w:rPr>
              <w:t>岱岳制盐</w:t>
            </w:r>
            <w:r>
              <w:rPr>
                <w:rFonts w:hint="eastAsia" w:ascii="仿宋_GB2312" w:hAnsi="仿宋_GB2312" w:eastAsia="仿宋_GB2312" w:cs="仿宋_GB2312"/>
                <w:b/>
                <w:bCs/>
                <w:sz w:val="36"/>
                <w:szCs w:val="36"/>
                <w:lang w:val="zh-CN"/>
              </w:rPr>
              <w:t>有限公司</w:t>
            </w:r>
          </w:p>
          <w:p>
            <w:pPr>
              <w:keepNext w:val="0"/>
              <w:keepLines w:val="0"/>
              <w:widowControl/>
              <w:suppressLineNumbers w:val="0"/>
              <w:jc w:val="center"/>
              <w:textAlignment w:val="center"/>
              <w:rPr>
                <w:rFonts w:hint="eastAsia" w:ascii="方正小标宋简体" w:hAnsi="宋体" w:eastAsia="方正小标宋简体"/>
                <w:sz w:val="44"/>
                <w:szCs w:val="44"/>
                <w:lang w:eastAsia="zh-CN"/>
              </w:rPr>
            </w:pPr>
            <w:r>
              <w:rPr>
                <w:rFonts w:hint="eastAsia" w:ascii="仿宋_GB2312" w:hAnsi="仿宋_GB2312" w:eastAsia="仿宋_GB2312" w:cs="仿宋_GB2312"/>
                <w:sz w:val="30"/>
                <w:szCs w:val="30"/>
                <w:lang w:val="zh-CN" w:eastAsia="zh-CN"/>
              </w:rPr>
              <w:t>分布式光伏发电建设项目</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36"/>
                <w:szCs w:val="36"/>
                <w:u w:val="none"/>
              </w:rPr>
            </w:pPr>
            <w:r>
              <w:rPr>
                <w:rFonts w:hint="eastAsia" w:ascii="仿宋_GB2312" w:hAnsi="仿宋_GB2312" w:eastAsia="仿宋_GB2312" w:cs="仿宋_GB2312"/>
                <w:sz w:val="30"/>
                <w:szCs w:val="30"/>
                <w:lang w:val="zh-CN"/>
              </w:rPr>
              <w:t>报价单</w:t>
            </w:r>
          </w:p>
        </w:tc>
      </w:tr>
      <w:tr>
        <w:tblPrEx>
          <w:tblCellMar>
            <w:top w:w="0" w:type="dxa"/>
            <w:left w:w="108" w:type="dxa"/>
            <w:bottom w:w="0" w:type="dxa"/>
            <w:right w:w="108" w:type="dxa"/>
          </w:tblCellMar>
        </w:tblPrEx>
        <w:trPr>
          <w:trHeight w:val="504" w:hRule="atLeast"/>
        </w:trPr>
        <w:tc>
          <w:tcPr>
            <w:tcW w:w="7940" w:type="dxa"/>
            <w:gridSpan w:val="6"/>
            <w:vMerge w:val="continue"/>
            <w:tcBorders>
              <w:top w:val="nil"/>
              <w:left w:val="nil"/>
              <w:bottom w:val="single" w:color="000000" w:sz="4" w:space="0"/>
              <w:right w:val="nil"/>
            </w:tcBorders>
            <w:shd w:val="clear" w:color="auto" w:fill="auto"/>
            <w:vAlign w:val="center"/>
          </w:tcPr>
          <w:p>
            <w:pPr>
              <w:jc w:val="center"/>
              <w:rPr>
                <w:rFonts w:hint="eastAsia" w:ascii="仿宋_GB2312" w:hAnsi="仿宋_GB2312" w:eastAsia="仿宋_GB2312" w:cs="仿宋_GB2312"/>
                <w:i w:val="0"/>
                <w:iCs w:val="0"/>
                <w:color w:val="000000"/>
                <w:sz w:val="36"/>
                <w:szCs w:val="36"/>
                <w:u w:val="none"/>
              </w:rPr>
            </w:pPr>
          </w:p>
        </w:tc>
      </w:tr>
      <w:tr>
        <w:tblPrEx>
          <w:tblCellMar>
            <w:top w:w="0" w:type="dxa"/>
            <w:left w:w="108" w:type="dxa"/>
            <w:bottom w:w="0" w:type="dxa"/>
            <w:right w:w="108" w:type="dxa"/>
          </w:tblCellMar>
        </w:tblPrEx>
        <w:trPr>
          <w:trHeight w:val="504" w:hRule="atLeast"/>
        </w:trPr>
        <w:tc>
          <w:tcPr>
            <w:tcW w:w="7940" w:type="dxa"/>
            <w:gridSpan w:val="6"/>
            <w:vMerge w:val="continue"/>
            <w:tcBorders>
              <w:top w:val="nil"/>
              <w:left w:val="nil"/>
              <w:bottom w:val="single" w:color="000000" w:sz="4" w:space="0"/>
              <w:right w:val="nil"/>
            </w:tcBorders>
            <w:shd w:val="clear" w:color="auto" w:fill="auto"/>
            <w:vAlign w:val="center"/>
          </w:tcPr>
          <w:p>
            <w:pPr>
              <w:jc w:val="center"/>
              <w:rPr>
                <w:rFonts w:hint="eastAsia" w:ascii="仿宋_GB2312" w:hAnsi="仿宋_GB2312" w:eastAsia="仿宋_GB2312" w:cs="仿宋_GB2312"/>
                <w:i w:val="0"/>
                <w:iCs w:val="0"/>
                <w:color w:val="000000"/>
                <w:sz w:val="36"/>
                <w:szCs w:val="36"/>
                <w:u w:val="none"/>
              </w:rPr>
            </w:pPr>
          </w:p>
        </w:tc>
      </w:tr>
      <w:tr>
        <w:tblPrEx>
          <w:tblCellMar>
            <w:top w:w="0" w:type="dxa"/>
            <w:left w:w="108" w:type="dxa"/>
            <w:bottom w:w="0" w:type="dxa"/>
            <w:right w:w="108" w:type="dxa"/>
          </w:tblCellMar>
        </w:tblPrEx>
        <w:trPr>
          <w:trHeight w:val="504" w:hRule="atLeast"/>
        </w:trPr>
        <w:tc>
          <w:tcPr>
            <w:tcW w:w="1856"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30"/>
                <w:szCs w:val="30"/>
                <w:lang w:val="zh-CN" w:eastAsia="zh-CN"/>
              </w:rPr>
            </w:pPr>
            <w:r>
              <w:rPr>
                <w:rFonts w:hint="eastAsia" w:ascii="仿宋_GB2312" w:hAnsi="仿宋_GB2312" w:eastAsia="仿宋_GB2312" w:cs="仿宋_GB2312"/>
                <w:sz w:val="30"/>
                <w:szCs w:val="30"/>
                <w:lang w:val="en-US" w:eastAsia="zh-CN"/>
              </w:rPr>
              <w:t>报价单位：</w:t>
            </w:r>
          </w:p>
        </w:tc>
        <w:tc>
          <w:tcPr>
            <w:tcW w:w="6084" w:type="dxa"/>
            <w:gridSpan w:val="4"/>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r>
      <w:tr>
        <w:tblPrEx>
          <w:tblCellMar>
            <w:top w:w="0" w:type="dxa"/>
            <w:left w:w="108" w:type="dxa"/>
            <w:bottom w:w="0" w:type="dxa"/>
            <w:right w:w="108" w:type="dxa"/>
          </w:tblCellMar>
        </w:tblPrEx>
        <w:trPr>
          <w:trHeight w:val="504" w:hRule="atLeast"/>
        </w:trPr>
        <w:tc>
          <w:tcPr>
            <w:tcW w:w="1856"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30"/>
                <w:szCs w:val="30"/>
                <w:lang w:val="zh-CN" w:eastAsia="zh-CN"/>
              </w:rPr>
            </w:pPr>
          </w:p>
        </w:tc>
        <w:tc>
          <w:tcPr>
            <w:tcW w:w="6084" w:type="dxa"/>
            <w:gridSpan w:val="4"/>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r>
      <w:tr>
        <w:tblPrEx>
          <w:tblCellMar>
            <w:top w:w="0" w:type="dxa"/>
            <w:left w:w="108" w:type="dxa"/>
            <w:bottom w:w="0" w:type="dxa"/>
            <w:right w:w="108" w:type="dxa"/>
          </w:tblCellMar>
        </w:tblPrEx>
        <w:trPr>
          <w:trHeight w:val="504" w:hRule="atLeast"/>
        </w:trPr>
        <w:tc>
          <w:tcPr>
            <w:tcW w:w="18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30"/>
                <w:szCs w:val="30"/>
                <w:lang w:val="zh-CN" w:eastAsia="zh-CN"/>
              </w:rPr>
            </w:pPr>
            <w:r>
              <w:rPr>
                <w:rFonts w:hint="eastAsia" w:ascii="仿宋_GB2312" w:hAnsi="仿宋_GB2312" w:eastAsia="仿宋_GB2312" w:cs="仿宋_GB2312"/>
                <w:sz w:val="30"/>
                <w:szCs w:val="30"/>
                <w:lang w:val="en-US" w:eastAsia="zh-CN"/>
              </w:rPr>
              <w:t>项目名称：</w:t>
            </w:r>
          </w:p>
        </w:tc>
        <w:tc>
          <w:tcPr>
            <w:tcW w:w="608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sz w:val="30"/>
                <w:szCs w:val="30"/>
                <w:lang w:val="zh-CN" w:eastAsia="zh-CN"/>
              </w:rPr>
              <w:t>分布式光伏发电建设项目</w:t>
            </w:r>
          </w:p>
        </w:tc>
      </w:tr>
      <w:tr>
        <w:tblPrEx>
          <w:tblCellMar>
            <w:top w:w="0" w:type="dxa"/>
            <w:left w:w="108" w:type="dxa"/>
            <w:bottom w:w="0" w:type="dxa"/>
            <w:right w:w="108" w:type="dxa"/>
          </w:tblCellMar>
        </w:tblPrEx>
        <w:trPr>
          <w:trHeight w:val="504" w:hRule="atLeast"/>
        </w:trPr>
        <w:tc>
          <w:tcPr>
            <w:tcW w:w="18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c>
          <w:tcPr>
            <w:tcW w:w="608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r>
      <w:tr>
        <w:tblPrEx>
          <w:tblCellMar>
            <w:top w:w="0" w:type="dxa"/>
            <w:left w:w="108" w:type="dxa"/>
            <w:bottom w:w="0" w:type="dxa"/>
            <w:right w:w="108" w:type="dxa"/>
          </w:tblCellMar>
        </w:tblPrEx>
        <w:trPr>
          <w:trHeight w:val="504" w:hRule="atLeast"/>
        </w:trPr>
        <w:tc>
          <w:tcPr>
            <w:tcW w:w="794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    </w:t>
            </w:r>
            <w:r>
              <w:rPr>
                <w:rFonts w:hint="eastAsia" w:ascii="仿宋_GB2312" w:hAnsi="仿宋_GB2312" w:eastAsia="仿宋_GB2312" w:cs="仿宋_GB2312"/>
                <w:i w:val="0"/>
                <w:iCs w:val="0"/>
                <w:color w:val="000000"/>
                <w:kern w:val="0"/>
                <w:sz w:val="30"/>
                <w:szCs w:val="30"/>
                <w:u w:val="none"/>
                <w:lang w:val="en-US" w:eastAsia="zh-CN" w:bidi="ar"/>
              </w:rPr>
              <w:t>报价内容</w:t>
            </w:r>
          </w:p>
        </w:tc>
      </w:tr>
      <w:tr>
        <w:tblPrEx>
          <w:tblCellMar>
            <w:top w:w="0" w:type="dxa"/>
            <w:left w:w="108" w:type="dxa"/>
            <w:bottom w:w="0" w:type="dxa"/>
            <w:right w:w="108" w:type="dxa"/>
          </w:tblCellMar>
        </w:tblPrEx>
        <w:trPr>
          <w:trHeight w:val="504" w:hRule="atLeast"/>
        </w:trPr>
        <w:tc>
          <w:tcPr>
            <w:tcW w:w="794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r>
      <w:tr>
        <w:tblPrEx>
          <w:tblCellMar>
            <w:top w:w="0" w:type="dxa"/>
            <w:left w:w="108" w:type="dxa"/>
            <w:bottom w:w="0" w:type="dxa"/>
            <w:right w:w="108" w:type="dxa"/>
          </w:tblCellMar>
        </w:tblPrEx>
        <w:trPr>
          <w:trHeight w:val="578"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序号</w:t>
            </w:r>
          </w:p>
        </w:tc>
        <w:tc>
          <w:tcPr>
            <w:tcW w:w="1598" w:type="dxa"/>
            <w:gridSpan w:val="2"/>
            <w:tcBorders>
              <w:top w:val="single" w:color="000000" w:sz="4" w:space="0"/>
              <w:left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报价项目</w:t>
            </w:r>
          </w:p>
        </w:tc>
        <w:tc>
          <w:tcPr>
            <w:tcW w:w="1632" w:type="dxa"/>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单位</w:t>
            </w:r>
          </w:p>
        </w:tc>
        <w:tc>
          <w:tcPr>
            <w:tcW w:w="1779" w:type="dxa"/>
            <w:tcBorders>
              <w:top w:val="single" w:color="000000" w:sz="4" w:space="0"/>
              <w:left w:val="single" w:color="000000"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单价（元/KWh）</w:t>
            </w:r>
          </w:p>
        </w:tc>
        <w:tc>
          <w:tcPr>
            <w:tcW w:w="2215" w:type="dxa"/>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备注</w:t>
            </w:r>
          </w:p>
        </w:tc>
      </w:tr>
      <w:tr>
        <w:tblPrEx>
          <w:tblCellMar>
            <w:top w:w="0" w:type="dxa"/>
            <w:left w:w="108" w:type="dxa"/>
            <w:bottom w:w="0" w:type="dxa"/>
            <w:right w:w="108" w:type="dxa"/>
          </w:tblCellMar>
        </w:tblPrEx>
        <w:trPr>
          <w:trHeight w:val="687"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1598" w:type="dxa"/>
            <w:gridSpan w:val="2"/>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u w:val="none"/>
                <w:lang w:val="en-US" w:eastAsia="zh-CN" w:bidi="ar"/>
              </w:rPr>
              <w:t>分布式光伏发电建设项目供给招标人使用电能价格</w:t>
            </w:r>
          </w:p>
        </w:tc>
        <w:tc>
          <w:tcPr>
            <w:tcW w:w="163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KWh</w:t>
            </w:r>
          </w:p>
        </w:tc>
        <w:tc>
          <w:tcPr>
            <w:tcW w:w="1779" w:type="dxa"/>
            <w:tcBorders>
              <w:top w:val="single" w:color="auto"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215" w:type="dxa"/>
            <w:tcBorders>
              <w:top w:val="single" w:color="000000"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lang w:val="en-US" w:eastAsia="zh-CN" w:bidi="ar"/>
              </w:rPr>
            </w:pPr>
          </w:p>
          <w:p>
            <w:pPr>
              <w:widowControl/>
              <w:jc w:val="center"/>
              <w:textAlignment w:val="center"/>
              <w:rPr>
                <w:rFonts w:hint="eastAsia" w:ascii="仿宋_GB2312" w:hAnsi="仿宋_GB2312" w:eastAsia="仿宋_GB2312" w:cs="仿宋_GB2312"/>
                <w:b w:val="0"/>
                <w:bCs w:val="0"/>
                <w:i w:val="0"/>
                <w:caps w:val="0"/>
                <w:color w:val="000000"/>
                <w:spacing w:val="0"/>
                <w:w w:val="100"/>
                <w:kern w:val="0"/>
                <w:sz w:val="24"/>
                <w:szCs w:val="24"/>
                <w:u w:val="none"/>
                <w:lang w:val="en-US" w:eastAsia="zh-CN" w:bidi="ar"/>
              </w:rPr>
            </w:pPr>
          </w:p>
          <w:p>
            <w:pPr>
              <w:widowControl/>
              <w:jc w:val="center"/>
              <w:textAlignment w:val="center"/>
              <w:rPr>
                <w:rFonts w:hint="eastAsia" w:ascii="仿宋_GB2312" w:hAnsi="仿宋_GB2312" w:eastAsia="仿宋_GB2312" w:cs="仿宋_GB2312"/>
                <w:b w:val="0"/>
                <w:bCs w:val="0"/>
                <w:i w:val="0"/>
                <w:caps w:val="0"/>
                <w:color w:val="000000"/>
                <w:spacing w:val="0"/>
                <w:w w:val="100"/>
                <w:kern w:val="0"/>
                <w:sz w:val="24"/>
                <w:szCs w:val="24"/>
                <w:u w:val="none"/>
                <w:lang w:val="en-US" w:eastAsia="zh-CN" w:bidi="ar"/>
              </w:rPr>
            </w:pPr>
          </w:p>
          <w:p>
            <w:pPr>
              <w:widowControl/>
              <w:jc w:val="center"/>
              <w:textAlignment w:val="center"/>
              <w:rPr>
                <w:rFonts w:hint="eastAsia" w:ascii="仿宋_GB2312" w:hAnsi="仿宋_GB2312" w:eastAsia="仿宋_GB2312" w:cs="仿宋_GB2312"/>
                <w:b w:val="0"/>
                <w:bCs w:val="0"/>
                <w:i w:val="0"/>
                <w:caps w:val="0"/>
                <w:color w:val="000000"/>
                <w:spacing w:val="0"/>
                <w:w w:val="100"/>
                <w:kern w:val="0"/>
                <w:sz w:val="24"/>
                <w:szCs w:val="24"/>
                <w:u w:val="none"/>
                <w:lang w:val="en-US" w:eastAsia="zh-CN" w:bidi="ar"/>
              </w:rPr>
            </w:pPr>
          </w:p>
          <w:p>
            <w:pPr>
              <w:widowControl/>
              <w:jc w:val="center"/>
              <w:textAlignment w:val="center"/>
              <w:rPr>
                <w:rFonts w:hint="eastAsia" w:ascii="仿宋_GB2312" w:hAnsi="仿宋_GB2312" w:eastAsia="仿宋_GB2312" w:cs="仿宋_GB2312"/>
                <w:b w:val="0"/>
                <w:bCs w:val="0"/>
                <w:i w:val="0"/>
                <w:caps w:val="0"/>
                <w:color w:val="000000"/>
                <w:spacing w:val="0"/>
                <w:w w:val="100"/>
                <w:kern w:val="0"/>
                <w:sz w:val="24"/>
                <w:szCs w:val="24"/>
                <w:u w:val="none"/>
                <w:lang w:val="en-US" w:eastAsia="zh-CN" w:bidi="ar"/>
              </w:rPr>
            </w:pPr>
          </w:p>
        </w:tc>
      </w:tr>
    </w:tbl>
    <w:p>
      <w:pPr>
        <w:pStyle w:val="15"/>
        <w:rPr>
          <w:rFonts w:hint="eastAsia" w:ascii="仿宋_GB2312" w:hAnsi="Times New Roman" w:eastAsia="仿宋_GB2312" w:cs="Times New Roman"/>
          <w:spacing w:val="-17"/>
          <w:sz w:val="32"/>
          <w:szCs w:val="32"/>
        </w:rPr>
      </w:pPr>
    </w:p>
    <w:p>
      <w:pPr>
        <w:pStyle w:val="15"/>
        <w:rPr>
          <w:rFonts w:hint="eastAsia" w:ascii="仿宋_GB2312" w:hAnsi="Times New Roman" w:eastAsia="仿宋_GB2312" w:cs="Times New Roman"/>
          <w:spacing w:val="-17"/>
          <w:sz w:val="32"/>
          <w:szCs w:val="32"/>
        </w:rPr>
      </w:pPr>
    </w:p>
    <w:p>
      <w:pPr>
        <w:pStyle w:val="15"/>
        <w:ind w:left="0" w:leftChars="0" w:firstLine="0" w:firstLineChars="0"/>
        <w:rPr>
          <w:rFonts w:hint="eastAsia" w:ascii="仿宋_GB2312" w:hAnsi="Times New Roman" w:eastAsia="仿宋_GB2312" w:cs="Times New Roman"/>
          <w:spacing w:val="-17"/>
          <w:sz w:val="32"/>
          <w:szCs w:val="32"/>
          <w:lang w:val="en-US" w:eastAsia="zh-CN"/>
        </w:rPr>
      </w:pPr>
    </w:p>
    <w:p>
      <w:pPr>
        <w:pStyle w:val="15"/>
        <w:ind w:left="0" w:leftChars="0" w:firstLine="0" w:firstLineChars="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w:t>
      </w:r>
    </w:p>
    <w:p>
      <w:pPr>
        <w:pStyle w:val="15"/>
        <w:ind w:left="0" w:leftChars="0" w:firstLine="0" w:firstLineChars="0"/>
        <w:rPr>
          <w:rFonts w:hint="eastAsia" w:ascii="仿宋_GB2312" w:hAnsi="Times New Roman" w:eastAsia="仿宋_GB2312" w:cs="Times New Roman"/>
          <w:spacing w:val="-17"/>
          <w:sz w:val="32"/>
          <w:szCs w:val="32"/>
          <w:lang w:val="en-US" w:eastAsia="zh-CN"/>
        </w:rPr>
      </w:pPr>
    </w:p>
    <w:p>
      <w:pPr>
        <w:pStyle w:val="15"/>
        <w:ind w:left="0" w:leftChars="0" w:firstLine="0" w:firstLineChars="0"/>
        <w:rPr>
          <w:rFonts w:hint="eastAsia" w:ascii="仿宋_GB2312" w:hAnsi="Times New Roman" w:eastAsia="仿宋_GB2312" w:cs="Times New Roman"/>
          <w:spacing w:val="-17"/>
          <w:sz w:val="32"/>
          <w:szCs w:val="32"/>
          <w:lang w:val="en-US" w:eastAsia="zh-CN"/>
        </w:rPr>
      </w:pPr>
    </w:p>
    <w:p>
      <w:pPr>
        <w:pStyle w:val="15"/>
        <w:ind w:left="0" w:leftChars="0" w:firstLine="0" w:firstLineChars="0"/>
        <w:rPr>
          <w:rFonts w:hint="eastAsia" w:ascii="仿宋_GB2312" w:hAnsi="Times New Roman" w:eastAsia="仿宋_GB2312" w:cs="Times New Roman"/>
          <w:spacing w:val="-17"/>
          <w:sz w:val="32"/>
          <w:szCs w:val="32"/>
          <w:lang w:val="en-US" w:eastAsia="zh-CN"/>
        </w:rPr>
      </w:pPr>
    </w:p>
    <w:p>
      <w:pPr>
        <w:pStyle w:val="15"/>
        <w:ind w:left="0" w:leftChars="0" w:firstLine="0" w:firstLineChars="0"/>
        <w:rPr>
          <w:rFonts w:hint="eastAsia" w:ascii="仿宋_GB2312" w:hAnsi="Times New Roman" w:eastAsia="仿宋_GB2312" w:cs="Times New Roman"/>
          <w:spacing w:val="-17"/>
          <w:sz w:val="32"/>
          <w:szCs w:val="32"/>
          <w:lang w:val="en-US" w:eastAsia="zh-CN"/>
        </w:rPr>
      </w:pPr>
    </w:p>
    <w:p>
      <w:pPr>
        <w:pStyle w:val="15"/>
        <w:ind w:left="0" w:leftChars="0" w:firstLine="0" w:firstLineChars="0"/>
        <w:rPr>
          <w:rFonts w:hint="eastAsia" w:ascii="仿宋_GB2312" w:hAnsi="Times New Roman" w:eastAsia="仿宋_GB2312" w:cs="Times New Roman"/>
          <w:spacing w:val="-17"/>
          <w:sz w:val="32"/>
          <w:szCs w:val="32"/>
          <w:lang w:val="en-US" w:eastAsia="zh-CN"/>
        </w:rPr>
      </w:pPr>
    </w:p>
    <w:p>
      <w:pPr>
        <w:pStyle w:val="15"/>
        <w:ind w:left="0" w:leftChars="0" w:firstLine="0" w:firstLineChars="0"/>
        <w:rPr>
          <w:rFonts w:hint="eastAsia" w:ascii="仿宋_GB2312" w:hAnsi="Times New Roman" w:eastAsia="仿宋_GB2312" w:cs="Times New Roman"/>
          <w:spacing w:val="-17"/>
          <w:sz w:val="32"/>
          <w:szCs w:val="32"/>
          <w:lang w:val="en-US" w:eastAsia="zh-CN"/>
        </w:rPr>
      </w:pPr>
    </w:p>
    <w:p>
      <w:pPr>
        <w:pStyle w:val="15"/>
        <w:ind w:left="0" w:leftChars="0" w:firstLine="0" w:firstLineChars="0"/>
        <w:rPr>
          <w:rFonts w:hint="eastAsia" w:ascii="仿宋_GB2312" w:hAnsi="Times New Roman" w:eastAsia="仿宋_GB2312" w:cs="Times New Roman"/>
          <w:spacing w:val="-17"/>
          <w:sz w:val="32"/>
          <w:szCs w:val="32"/>
          <w:lang w:val="en-US" w:eastAsia="zh-CN"/>
        </w:rPr>
      </w:pPr>
    </w:p>
    <w:p>
      <w:pPr>
        <w:pStyle w:val="15"/>
        <w:ind w:left="0" w:leftChars="0" w:firstLine="0" w:firstLineChars="0"/>
        <w:rPr>
          <w:rFonts w:hint="eastAsia" w:ascii="仿宋_GB2312" w:hAnsi="Times New Roman" w:eastAsia="仿宋_GB2312" w:cs="Times New Roman"/>
          <w:spacing w:val="-17"/>
          <w:sz w:val="32"/>
          <w:szCs w:val="32"/>
          <w:lang w:val="en-US" w:eastAsia="zh-CN"/>
        </w:rPr>
      </w:pPr>
    </w:p>
    <w:p>
      <w:pPr>
        <w:pStyle w:val="15"/>
        <w:ind w:left="0" w:leftChars="0" w:firstLine="0" w:firstLineChars="0"/>
        <w:rPr>
          <w:rFonts w:hint="eastAsia" w:ascii="仿宋_GB2312" w:hAnsi="Times New Roman" w:eastAsia="仿宋_GB2312" w:cs="Times New Roman"/>
          <w:spacing w:val="-17"/>
          <w:sz w:val="32"/>
          <w:szCs w:val="32"/>
          <w:lang w:val="en-US" w:eastAsia="zh-CN"/>
        </w:rPr>
      </w:pPr>
    </w:p>
    <w:p>
      <w:pPr>
        <w:pStyle w:val="15"/>
        <w:ind w:left="0" w:leftChars="0" w:firstLine="4862" w:firstLineChars="170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报价单位（公章）：</w:t>
      </w:r>
    </w:p>
    <w:p>
      <w:pPr>
        <w:pStyle w:val="15"/>
        <w:ind w:left="0" w:leftChars="0" w:firstLine="0" w:firstLineChars="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w:t>
      </w:r>
    </w:p>
    <w:p>
      <w:pPr>
        <w:pStyle w:val="15"/>
        <w:ind w:left="0" w:leftChars="0" w:firstLine="6006" w:firstLineChars="210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年   月   日</w:t>
      </w:r>
    </w:p>
    <w:p>
      <w:pPr>
        <w:pStyle w:val="15"/>
        <w:ind w:left="0" w:leftChars="0" w:firstLine="6006" w:firstLineChars="2100"/>
        <w:rPr>
          <w:rFonts w:hint="eastAsia" w:ascii="仿宋_GB2312" w:hAnsi="Times New Roman" w:eastAsia="仿宋_GB2312" w:cs="Times New Roman"/>
          <w:spacing w:val="-17"/>
          <w:sz w:val="32"/>
          <w:szCs w:val="32"/>
          <w:lang w:val="en-US" w:eastAsia="zh-CN"/>
        </w:rPr>
      </w:pPr>
    </w:p>
    <w:p>
      <w:pPr>
        <w:pStyle w:val="15"/>
        <w:ind w:left="0" w:leftChars="0" w:firstLine="6006" w:firstLineChars="2100"/>
        <w:rPr>
          <w:rFonts w:hint="eastAsia" w:ascii="仿宋_GB2312" w:hAnsi="Times New Roman" w:eastAsia="仿宋_GB2312" w:cs="Times New Roman"/>
          <w:spacing w:val="-17"/>
          <w:sz w:val="32"/>
          <w:szCs w:val="32"/>
          <w:lang w:val="en-US" w:eastAsia="zh-CN"/>
        </w:rPr>
      </w:pPr>
    </w:p>
    <w:p>
      <w:pPr>
        <w:pStyle w:val="15"/>
        <w:ind w:left="0" w:leftChars="0" w:firstLine="6006" w:firstLineChars="2100"/>
        <w:rPr>
          <w:rFonts w:hint="eastAsia" w:ascii="仿宋_GB2312" w:hAnsi="Times New Roman" w:eastAsia="仿宋_GB2312" w:cs="Times New Roman"/>
          <w:spacing w:val="-17"/>
          <w:sz w:val="32"/>
          <w:szCs w:val="32"/>
          <w:lang w:val="en-US" w:eastAsia="zh-CN"/>
        </w:rPr>
      </w:pPr>
    </w:p>
    <w:p>
      <w:pPr>
        <w:autoSpaceDE w:val="0"/>
        <w:autoSpaceDN w:val="0"/>
        <w:spacing w:line="640" w:lineRule="exact"/>
        <w:rPr>
          <w:rFonts w:ascii="仿宋_GB2312" w:hAnsi="仿宋" w:eastAsia="仿宋_GB2312"/>
          <w:sz w:val="24"/>
          <w:lang w:val="zh-CN"/>
        </w:rPr>
      </w:pPr>
    </w:p>
    <w:p>
      <w:pPr>
        <w:autoSpaceDE w:val="0"/>
        <w:autoSpaceDN w:val="0"/>
        <w:spacing w:line="640" w:lineRule="exact"/>
        <w:rPr>
          <w:rFonts w:ascii="仿宋_GB2312" w:hAnsi="仿宋" w:eastAsia="仿宋_GB2312"/>
          <w:sz w:val="24"/>
          <w:lang w:val="zh-CN"/>
        </w:rPr>
      </w:pPr>
      <w:r>
        <w:rPr>
          <w:rFonts w:ascii="仿宋_GB2312" w:hAnsi="仿宋" w:eastAsia="仿宋_GB2312"/>
          <w:sz w:val="24"/>
          <w:lang w:val="zh-CN"/>
        </w:rPr>
        <w:t>附</w:t>
      </w:r>
      <w:r>
        <w:rPr>
          <w:rFonts w:hint="eastAsia" w:ascii="仿宋_GB2312" w:hAnsi="仿宋" w:eastAsia="仿宋_GB2312"/>
          <w:sz w:val="24"/>
          <w:lang w:val="zh-CN"/>
        </w:rPr>
        <w:t>表二</w:t>
      </w:r>
      <w:r>
        <w:rPr>
          <w:rFonts w:ascii="仿宋_GB2312" w:hAnsi="仿宋" w:eastAsia="仿宋_GB2312"/>
          <w:sz w:val="24"/>
          <w:lang w:val="zh-CN"/>
        </w:rPr>
        <w:t xml:space="preserve">： </w:t>
      </w:r>
    </w:p>
    <w:p>
      <w:pPr>
        <w:autoSpaceDE w:val="0"/>
        <w:autoSpaceDN w:val="0"/>
        <w:spacing w:before="120" w:after="120" w:line="300" w:lineRule="auto"/>
        <w:jc w:val="center"/>
        <w:rPr>
          <w:rFonts w:ascii="黑体" w:hAnsi="Arial" w:eastAsia="黑体"/>
          <w:sz w:val="30"/>
          <w:szCs w:val="30"/>
          <w:lang w:val="zh-CN"/>
        </w:rPr>
      </w:pPr>
      <w:r>
        <w:rPr>
          <w:rFonts w:hint="eastAsia" w:ascii="黑体" w:hAnsi="Arial" w:eastAsia="黑体"/>
          <w:sz w:val="30"/>
          <w:szCs w:val="30"/>
          <w:lang w:val="zh-CN"/>
        </w:rPr>
        <w:t>商务</w:t>
      </w:r>
      <w:r>
        <w:rPr>
          <w:rFonts w:ascii="黑体" w:hAnsi="Arial" w:eastAsia="黑体"/>
          <w:sz w:val="30"/>
          <w:szCs w:val="30"/>
          <w:lang w:val="zh-CN"/>
        </w:rPr>
        <w:t>偏离表</w:t>
      </w:r>
    </w:p>
    <w:p>
      <w:pPr>
        <w:jc w:val="center"/>
        <w:rPr>
          <w:rFonts w:ascii="宋体" w:hAnsi="Arial"/>
          <w:sz w:val="28"/>
          <w:lang w:val="zh-CN"/>
        </w:rPr>
      </w:pPr>
    </w:p>
    <w:p>
      <w:pPr>
        <w:autoSpaceDE/>
        <w:autoSpaceDN/>
        <w:spacing w:after="0" w:line="0" w:lineRule="atLeast"/>
        <w:jc w:val="left"/>
        <w:rPr>
          <w:rFonts w:hint="eastAsia" w:ascii="仿宋_GB2312" w:hAnsi="仿宋" w:eastAsia="仿宋_GB2312"/>
          <w:sz w:val="24"/>
          <w:u w:val="single"/>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cstheme="minorBidi"/>
          <w:sz w:val="24"/>
          <w:szCs w:val="22"/>
          <w:u w:val="single"/>
          <w:lang w:val="zh-CN" w:eastAsia="zh-CN"/>
        </w:rPr>
        <w:t>分布式光伏发电建设项目</w:t>
      </w:r>
      <w:r>
        <w:rPr>
          <w:rFonts w:ascii="仿宋_GB2312" w:hAnsi="仿宋" w:eastAsia="仿宋_GB2312"/>
          <w:sz w:val="24"/>
          <w:u w:val="single"/>
          <w:lang w:val="zh-CN"/>
        </w:rPr>
        <w:t xml:space="preserve">   </w:t>
      </w:r>
    </w:p>
    <w:tbl>
      <w:tblPr>
        <w:tblStyle w:val="10"/>
        <w:tblW w:w="0" w:type="auto"/>
        <w:tblInd w:w="0" w:type="dxa"/>
        <w:tblLayout w:type="fixed"/>
        <w:tblCellMar>
          <w:top w:w="0" w:type="dxa"/>
          <w:left w:w="108" w:type="dxa"/>
          <w:bottom w:w="0" w:type="dxa"/>
          <w:right w:w="108" w:type="dxa"/>
        </w:tblCellMar>
      </w:tblPr>
      <w:tblGrid>
        <w:gridCol w:w="817"/>
        <w:gridCol w:w="3290"/>
        <w:gridCol w:w="3291"/>
        <w:gridCol w:w="1719"/>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29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171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nil"/>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bl>
    <w:p>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项目的商务条款</w:t>
      </w:r>
      <w:r>
        <w:rPr>
          <w:rFonts w:ascii="仿宋_GB2312" w:hAnsi="仿宋" w:eastAsia="仿宋_GB2312"/>
          <w:sz w:val="24"/>
          <w:lang w:val="zh-CN"/>
        </w:rPr>
        <w:t>、对照</w:t>
      </w:r>
      <w:r>
        <w:rPr>
          <w:rFonts w:hint="eastAsia" w:ascii="仿宋_GB2312" w:hAnsi="仿宋" w:eastAsia="仿宋_GB2312"/>
          <w:sz w:val="24"/>
          <w:lang w:val="zh-CN"/>
        </w:rPr>
        <w:t>招标</w:t>
      </w:r>
      <w:r>
        <w:rPr>
          <w:rFonts w:ascii="仿宋_GB2312" w:hAnsi="仿宋" w:eastAsia="仿宋_GB2312"/>
          <w:sz w:val="24"/>
          <w:lang w:val="zh-CN"/>
        </w:rPr>
        <w:t>文件</w:t>
      </w:r>
      <w:r>
        <w:rPr>
          <w:rFonts w:hint="eastAsia" w:ascii="仿宋_GB2312" w:hAnsi="仿宋" w:eastAsia="仿宋_GB2312"/>
          <w:sz w:val="24"/>
          <w:lang w:val="zh-CN"/>
        </w:rPr>
        <w:t>商务</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w:t>
      </w:r>
      <w:r>
        <w:rPr>
          <w:rFonts w:hint="eastAsia" w:ascii="仿宋_GB2312" w:hAnsi="仿宋" w:eastAsia="仿宋_GB2312"/>
          <w:sz w:val="24"/>
          <w:lang w:val="zh-CN"/>
        </w:rPr>
        <w:t>”“</w:t>
      </w:r>
      <w:r>
        <w:rPr>
          <w:rFonts w:ascii="仿宋_GB2312" w:hAnsi="仿宋" w:eastAsia="仿宋_GB2312"/>
          <w:sz w:val="24"/>
          <w:lang w:val="zh-CN"/>
        </w:rPr>
        <w:t>负偏离”</w:t>
      </w:r>
      <w:r>
        <w:rPr>
          <w:rFonts w:hint="eastAsia" w:ascii="仿宋_GB2312" w:hAnsi="仿宋" w:eastAsia="仿宋_GB2312"/>
          <w:sz w:val="24"/>
          <w:lang w:val="zh-CN"/>
        </w:rPr>
        <w:t>或“无偏离”，偏离表随投标文件一同递交</w:t>
      </w:r>
      <w:r>
        <w:rPr>
          <w:rFonts w:ascii="仿宋_GB2312" w:hAnsi="仿宋" w:eastAsia="仿宋_GB2312"/>
          <w:sz w:val="24"/>
          <w:lang w:val="zh-CN"/>
        </w:rPr>
        <w:t>。</w:t>
      </w:r>
    </w:p>
    <w:p>
      <w:pPr>
        <w:autoSpaceDE w:val="0"/>
        <w:autoSpaceDN w:val="0"/>
        <w:spacing w:before="50" w:after="50"/>
        <w:rPr>
          <w:rFonts w:ascii="仿宋_GB2312" w:hAnsi="仿宋" w:eastAsia="仿宋_GB2312"/>
          <w:sz w:val="24"/>
          <w:lang w:val="zh-CN"/>
        </w:rPr>
      </w:pPr>
    </w:p>
    <w:p>
      <w:pPr>
        <w:autoSpaceDE w:val="0"/>
        <w:autoSpaceDN w:val="0"/>
        <w:spacing w:before="50" w:after="50"/>
        <w:rPr>
          <w:rFonts w:ascii="仿宋_GB2312" w:hAnsi="仿宋" w:eastAsia="仿宋_GB2312"/>
          <w:sz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供应商名称（公章）：</w:t>
      </w: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pPr>
        <w:autoSpaceDE w:val="0"/>
        <w:autoSpaceDN w:val="0"/>
        <w:spacing w:line="360" w:lineRule="auto"/>
        <w:rPr>
          <w:lang w:val="zh-CN"/>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pPr>
        <w:autoSpaceDE w:val="0"/>
        <w:autoSpaceDN w:val="0"/>
        <w:spacing w:line="640" w:lineRule="exact"/>
        <w:rPr>
          <w:rFonts w:ascii="仿宋_GB2312" w:hAnsi="仿宋" w:eastAsia="仿宋_GB2312"/>
          <w:sz w:val="24"/>
          <w:lang w:val="zh-CN"/>
        </w:rPr>
      </w:pPr>
    </w:p>
    <w:p>
      <w:pPr>
        <w:autoSpaceDE w:val="0"/>
        <w:autoSpaceDN w:val="0"/>
        <w:spacing w:line="640" w:lineRule="exact"/>
        <w:rPr>
          <w:rFonts w:ascii="仿宋_GB2312" w:hAnsi="仿宋" w:eastAsia="仿宋_GB2312"/>
          <w:sz w:val="24"/>
          <w:lang w:val="zh-CN"/>
        </w:rPr>
      </w:pPr>
    </w:p>
    <w:p>
      <w:pPr>
        <w:autoSpaceDE w:val="0"/>
        <w:autoSpaceDN w:val="0"/>
        <w:spacing w:line="640" w:lineRule="exact"/>
        <w:rPr>
          <w:rFonts w:ascii="仿宋_GB2312" w:hAnsi="仿宋" w:eastAsia="仿宋_GB2312"/>
          <w:sz w:val="24"/>
          <w:lang w:val="zh-CN"/>
        </w:rPr>
      </w:pPr>
      <w:r>
        <w:rPr>
          <w:rFonts w:ascii="仿宋_GB2312" w:hAnsi="仿宋" w:eastAsia="仿宋_GB2312"/>
          <w:sz w:val="24"/>
          <w:lang w:val="zh-CN"/>
        </w:rPr>
        <w:t>附</w:t>
      </w:r>
      <w:r>
        <w:rPr>
          <w:rFonts w:hint="eastAsia" w:ascii="仿宋_GB2312" w:hAnsi="仿宋" w:eastAsia="仿宋_GB2312"/>
          <w:sz w:val="24"/>
          <w:lang w:val="zh-CN"/>
        </w:rPr>
        <w:t>表三</w:t>
      </w:r>
      <w:r>
        <w:rPr>
          <w:rFonts w:ascii="仿宋_GB2312" w:hAnsi="仿宋" w:eastAsia="仿宋_GB2312"/>
          <w:sz w:val="24"/>
          <w:lang w:val="zh-CN"/>
        </w:rPr>
        <w:t xml:space="preserve">： </w:t>
      </w:r>
    </w:p>
    <w:p>
      <w:pPr>
        <w:autoSpaceDE w:val="0"/>
        <w:autoSpaceDN w:val="0"/>
        <w:spacing w:before="120" w:after="120" w:line="300" w:lineRule="auto"/>
        <w:jc w:val="center"/>
        <w:rPr>
          <w:rFonts w:ascii="黑体" w:hAnsi="Arial" w:eastAsia="黑体"/>
          <w:sz w:val="30"/>
          <w:szCs w:val="30"/>
          <w:lang w:val="zh-CN"/>
        </w:rPr>
      </w:pPr>
      <w:r>
        <w:rPr>
          <w:rFonts w:ascii="黑体" w:hAnsi="Arial" w:eastAsia="黑体"/>
          <w:sz w:val="30"/>
          <w:szCs w:val="30"/>
          <w:lang w:val="zh-CN"/>
        </w:rPr>
        <w:t>技术偏离表</w:t>
      </w:r>
    </w:p>
    <w:p>
      <w:pPr>
        <w:jc w:val="center"/>
        <w:rPr>
          <w:rFonts w:ascii="宋体" w:hAnsi="Arial"/>
          <w:sz w:val="28"/>
          <w:lang w:val="zh-CN"/>
        </w:rPr>
      </w:pPr>
    </w:p>
    <w:p>
      <w:pPr>
        <w:autoSpaceDE w:val="0"/>
        <w:autoSpaceDN w:val="0"/>
        <w:spacing w:after="240"/>
        <w:rPr>
          <w:rFonts w:ascii="仿宋_GB2312" w:hAnsi="仿宋" w:eastAsia="仿宋_GB2312"/>
          <w:sz w:val="24"/>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cstheme="minorBidi"/>
          <w:sz w:val="24"/>
          <w:szCs w:val="22"/>
          <w:u w:val="single"/>
          <w:lang w:val="zh-CN" w:eastAsia="zh-CN"/>
        </w:rPr>
        <w:t>分布式光伏发电建设项目</w:t>
      </w:r>
      <w:r>
        <w:rPr>
          <w:rFonts w:ascii="仿宋_GB2312" w:hAnsi="仿宋" w:eastAsia="仿宋_GB2312"/>
          <w:sz w:val="24"/>
          <w:u w:val="single"/>
          <w:lang w:val="zh-CN"/>
        </w:rPr>
        <w:t xml:space="preserve">        </w:t>
      </w:r>
      <w:r>
        <w:rPr>
          <w:rFonts w:ascii="仿宋_GB2312" w:hAnsi="仿宋" w:eastAsia="仿宋_GB2312"/>
          <w:sz w:val="24"/>
          <w:lang w:val="zh-CN"/>
        </w:rPr>
        <w:t xml:space="preserve"> </w:t>
      </w:r>
    </w:p>
    <w:tbl>
      <w:tblPr>
        <w:tblStyle w:val="10"/>
        <w:tblW w:w="0" w:type="auto"/>
        <w:tblInd w:w="0" w:type="dxa"/>
        <w:tblLayout w:type="fixed"/>
        <w:tblCellMar>
          <w:top w:w="0" w:type="dxa"/>
          <w:left w:w="108" w:type="dxa"/>
          <w:bottom w:w="0" w:type="dxa"/>
          <w:right w:w="108" w:type="dxa"/>
        </w:tblCellMar>
      </w:tblPr>
      <w:tblGrid>
        <w:gridCol w:w="817"/>
        <w:gridCol w:w="3079"/>
        <w:gridCol w:w="3079"/>
        <w:gridCol w:w="2100"/>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07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21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nil"/>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bl>
    <w:p>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w:t>
      </w:r>
      <w:r>
        <w:rPr>
          <w:rFonts w:ascii="仿宋_GB2312" w:hAnsi="仿宋" w:eastAsia="仿宋_GB2312"/>
          <w:sz w:val="24"/>
          <w:lang w:val="zh-CN"/>
        </w:rPr>
        <w:t>的性能指标、对照</w:t>
      </w:r>
      <w:r>
        <w:rPr>
          <w:rFonts w:hint="eastAsia" w:ascii="仿宋_GB2312" w:hAnsi="仿宋" w:eastAsia="仿宋_GB2312"/>
          <w:sz w:val="24"/>
          <w:lang w:val="zh-CN"/>
        </w:rPr>
        <w:t>招标文件技术</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w:t>
      </w:r>
      <w:r>
        <w:rPr>
          <w:rFonts w:hint="eastAsia" w:ascii="仿宋_GB2312" w:hAnsi="仿宋" w:eastAsia="仿宋_GB2312"/>
          <w:sz w:val="24"/>
          <w:lang w:val="zh-CN"/>
        </w:rPr>
        <w:t>”“</w:t>
      </w:r>
      <w:r>
        <w:rPr>
          <w:rFonts w:ascii="仿宋_GB2312" w:hAnsi="仿宋" w:eastAsia="仿宋_GB2312"/>
          <w:sz w:val="24"/>
          <w:lang w:val="zh-CN"/>
        </w:rPr>
        <w:t>负偏离”或者“无偏离”</w:t>
      </w:r>
      <w:r>
        <w:rPr>
          <w:rFonts w:hint="eastAsia" w:ascii="仿宋_GB2312" w:hAnsi="仿宋" w:eastAsia="仿宋_GB2312"/>
          <w:sz w:val="24"/>
          <w:lang w:val="zh-CN"/>
        </w:rPr>
        <w:t>，偏离表随投标文件一同递交</w:t>
      </w:r>
      <w:r>
        <w:rPr>
          <w:rFonts w:ascii="仿宋_GB2312" w:hAnsi="仿宋" w:eastAsia="仿宋_GB2312"/>
          <w:sz w:val="24"/>
          <w:lang w:val="zh-CN"/>
        </w:rPr>
        <w:t>。</w:t>
      </w:r>
    </w:p>
    <w:p>
      <w:pPr>
        <w:autoSpaceDE w:val="0"/>
        <w:autoSpaceDN w:val="0"/>
        <w:spacing w:before="50" w:after="50"/>
        <w:rPr>
          <w:rFonts w:ascii="仿宋_GB2312" w:hAnsi="仿宋" w:eastAsia="仿宋_GB2312"/>
          <w:sz w:val="24"/>
          <w:lang w:val="zh-CN"/>
        </w:rPr>
      </w:pPr>
    </w:p>
    <w:p>
      <w:pPr>
        <w:autoSpaceDE w:val="0"/>
        <w:autoSpaceDN w:val="0"/>
        <w:spacing w:before="50" w:after="50"/>
        <w:rPr>
          <w:rFonts w:ascii="仿宋_GB2312" w:hAnsi="仿宋" w:eastAsia="仿宋_GB2312"/>
          <w:sz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供应商名称（公章）：</w:t>
      </w: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pPr>
        <w:autoSpaceDE w:val="0"/>
        <w:autoSpaceDN w:val="0"/>
        <w:spacing w:line="360" w:lineRule="auto"/>
        <w:rPr>
          <w:rFonts w:ascii="仿宋_GB2312" w:eastAsia="仿宋_GB2312"/>
          <w:sz w:val="24"/>
          <w:szCs w:val="24"/>
          <w:lang w:val="zh-CN"/>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pPr>
        <w:pStyle w:val="15"/>
        <w:rPr>
          <w:rFonts w:ascii="仿宋_GB2312" w:eastAsia="仿宋_GB2312"/>
          <w:sz w:val="24"/>
          <w:szCs w:val="24"/>
          <w:lang w:val="zh-CN"/>
        </w:rPr>
      </w:pPr>
    </w:p>
    <w:p>
      <w:pPr>
        <w:pStyle w:val="15"/>
        <w:rPr>
          <w:rFonts w:ascii="仿宋_GB2312" w:eastAsia="仿宋_GB2312"/>
          <w:sz w:val="24"/>
          <w:szCs w:val="24"/>
          <w:lang w:val="zh-CN"/>
        </w:rPr>
      </w:pPr>
    </w:p>
    <w:p>
      <w:pPr>
        <w:pStyle w:val="15"/>
        <w:rPr>
          <w:rFonts w:ascii="仿宋_GB2312" w:eastAsia="仿宋_GB2312"/>
          <w:sz w:val="24"/>
          <w:szCs w:val="24"/>
          <w:lang w:val="zh-CN"/>
        </w:rPr>
      </w:pPr>
    </w:p>
    <w:p>
      <w:pPr>
        <w:autoSpaceDE w:val="0"/>
        <w:autoSpaceDN w:val="0"/>
        <w:spacing w:line="640" w:lineRule="exact"/>
        <w:rPr>
          <w:rFonts w:hint="eastAsia" w:ascii="仿宋" w:hAnsi="仿宋" w:eastAsia="仿宋" w:cs="仿宋"/>
          <w:b w:val="0"/>
          <w:bCs w:val="0"/>
          <w:kern w:val="2"/>
          <w:sz w:val="24"/>
          <w:szCs w:val="22"/>
          <w:lang w:val="zh-CN" w:eastAsia="zh-CN"/>
        </w:rPr>
      </w:pPr>
      <w:r>
        <w:rPr>
          <w:rFonts w:hint="eastAsia" w:ascii="仿宋" w:hAnsi="仿宋" w:eastAsia="仿宋" w:cs="仿宋"/>
          <w:b w:val="0"/>
          <w:bCs w:val="0"/>
          <w:kern w:val="2"/>
          <w:sz w:val="24"/>
          <w:szCs w:val="22"/>
          <w:lang w:val="zh-CN"/>
        </w:rPr>
        <w:t>附表</w:t>
      </w:r>
      <w:r>
        <w:rPr>
          <w:rFonts w:hint="eastAsia" w:ascii="仿宋" w:hAnsi="仿宋" w:eastAsia="仿宋" w:cs="仿宋"/>
          <w:b w:val="0"/>
          <w:bCs w:val="0"/>
          <w:kern w:val="2"/>
          <w:sz w:val="24"/>
          <w:szCs w:val="22"/>
          <w:lang w:val="zh-CN" w:eastAsia="zh-CN"/>
        </w:rPr>
        <w:t>4；报名登记表</w:t>
      </w:r>
    </w:p>
    <w:p>
      <w:pPr>
        <w:autoSpaceDE w:val="0"/>
        <w:autoSpaceDN w:val="0"/>
        <w:spacing w:before="120" w:after="120" w:line="300" w:lineRule="auto"/>
        <w:jc w:val="center"/>
        <w:rPr>
          <w:rFonts w:hint="eastAsia" w:ascii="仿宋" w:hAnsi="仿宋" w:eastAsia="仿宋" w:cs="仿宋"/>
          <w:kern w:val="2"/>
          <w:sz w:val="30"/>
          <w:szCs w:val="30"/>
          <w:lang w:val="zh-CN"/>
        </w:rPr>
      </w:pPr>
      <w:r>
        <w:rPr>
          <w:rFonts w:hint="eastAsia" w:ascii="仿宋" w:hAnsi="仿宋" w:eastAsia="仿宋" w:cs="仿宋"/>
          <w:b w:val="0"/>
          <w:bCs w:val="0"/>
          <w:kern w:val="2"/>
          <w:sz w:val="30"/>
          <w:szCs w:val="30"/>
          <w:lang w:val="zh-CN"/>
        </w:rPr>
        <w:t>报名登记表</w:t>
      </w:r>
    </w:p>
    <w:tbl>
      <w:tblPr>
        <w:tblStyle w:val="10"/>
        <w:tblW w:w="8363" w:type="dxa"/>
        <w:jc w:val="center"/>
        <w:tblLayout w:type="fixed"/>
        <w:tblCellMar>
          <w:top w:w="0" w:type="dxa"/>
          <w:left w:w="0" w:type="dxa"/>
          <w:bottom w:w="0" w:type="dxa"/>
          <w:right w:w="0" w:type="dxa"/>
        </w:tblCellMar>
      </w:tblPr>
      <w:tblGrid>
        <w:gridCol w:w="1927"/>
        <w:gridCol w:w="1466"/>
        <w:gridCol w:w="1200"/>
        <w:gridCol w:w="842"/>
        <w:gridCol w:w="1110"/>
        <w:gridCol w:w="1818"/>
      </w:tblGrid>
      <w:tr>
        <w:tblPrEx>
          <w:tblCellMar>
            <w:top w:w="0" w:type="dxa"/>
            <w:left w:w="0" w:type="dxa"/>
            <w:bottom w:w="0" w:type="dxa"/>
            <w:right w:w="0" w:type="dxa"/>
          </w:tblCellMar>
        </w:tblPrEx>
        <w:trPr>
          <w:trHeight w:val="559"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投标单位名称</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559"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注册资金</w:t>
            </w:r>
          </w:p>
        </w:tc>
        <w:tc>
          <w:tcPr>
            <w:tcW w:w="2042"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c>
          <w:tcPr>
            <w:tcW w:w="1110" w:type="dxa"/>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成立时间</w:t>
            </w:r>
          </w:p>
        </w:tc>
        <w:tc>
          <w:tcPr>
            <w:tcW w:w="1818" w:type="dxa"/>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559"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公司地址</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559"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项目名称及编号</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670" w:hRule="atLeast"/>
          <w:jc w:val="center"/>
        </w:trPr>
        <w:tc>
          <w:tcPr>
            <w:tcW w:w="3393" w:type="dxa"/>
            <w:gridSpan w:val="2"/>
            <w:vMerge w:val="restart"/>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授权代表联系方式（应保持联系畅通）</w:t>
            </w:r>
          </w:p>
        </w:tc>
        <w:tc>
          <w:tcPr>
            <w:tcW w:w="1200" w:type="dxa"/>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联系人</w:t>
            </w:r>
          </w:p>
        </w:tc>
        <w:tc>
          <w:tcPr>
            <w:tcW w:w="3770" w:type="dxa"/>
            <w:gridSpan w:val="3"/>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670" w:hRule="atLeast"/>
          <w:jc w:val="center"/>
        </w:trPr>
        <w:tc>
          <w:tcPr>
            <w:tcW w:w="3393" w:type="dxa"/>
            <w:gridSpan w:val="2"/>
            <w:vMerge w:val="continue"/>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c>
          <w:tcPr>
            <w:tcW w:w="1200" w:type="dxa"/>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联系</w:t>
            </w:r>
            <w:r>
              <w:rPr>
                <w:rStyle w:val="20"/>
                <w:rFonts w:hint="eastAsia" w:ascii="仿宋" w:hAnsi="仿宋" w:eastAsia="仿宋" w:cs="仿宋"/>
                <w:lang w:eastAsia="zh-CN"/>
              </w:rPr>
              <w:t>方式</w:t>
            </w:r>
          </w:p>
        </w:tc>
        <w:tc>
          <w:tcPr>
            <w:tcW w:w="3770" w:type="dxa"/>
            <w:gridSpan w:val="3"/>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670"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法定代表人</w:t>
            </w:r>
            <w:r>
              <w:rPr>
                <w:rStyle w:val="20"/>
                <w:rFonts w:hint="eastAsia" w:ascii="仿宋" w:hAnsi="仿宋" w:eastAsia="仿宋" w:cs="仿宋"/>
                <w:lang w:eastAsia="zh-CN"/>
              </w:rPr>
              <w:t>（</w:t>
            </w:r>
            <w:r>
              <w:rPr>
                <w:rStyle w:val="20"/>
                <w:rFonts w:hint="eastAsia" w:ascii="仿宋" w:hAnsi="仿宋" w:eastAsia="仿宋" w:cs="仿宋"/>
              </w:rPr>
              <w:t>单位负责人</w:t>
            </w:r>
            <w:r>
              <w:rPr>
                <w:rStyle w:val="20"/>
                <w:rFonts w:hint="eastAsia" w:ascii="仿宋" w:hAnsi="仿宋" w:eastAsia="仿宋" w:cs="仿宋"/>
                <w:lang w:eastAsia="zh-CN"/>
              </w:rPr>
              <w:t>）</w:t>
            </w:r>
            <w:r>
              <w:rPr>
                <w:rStyle w:val="20"/>
                <w:rFonts w:hint="eastAsia" w:ascii="仿宋" w:hAnsi="仿宋" w:eastAsia="仿宋" w:cs="仿宋"/>
              </w:rPr>
              <w:t>姓名</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1130"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投标单位社会信用代码</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610" w:hRule="atLeast"/>
          <w:jc w:val="center"/>
        </w:trPr>
        <w:tc>
          <w:tcPr>
            <w:tcW w:w="1927" w:type="dxa"/>
            <w:vMerge w:val="restart"/>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基本账户</w:t>
            </w:r>
          </w:p>
        </w:tc>
        <w:tc>
          <w:tcPr>
            <w:tcW w:w="1466" w:type="dxa"/>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开户银行</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610" w:hRule="atLeast"/>
          <w:jc w:val="center"/>
        </w:trPr>
        <w:tc>
          <w:tcPr>
            <w:tcW w:w="1927" w:type="dxa"/>
            <w:vMerge w:val="continue"/>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c>
          <w:tcPr>
            <w:tcW w:w="1466" w:type="dxa"/>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银行账号</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610"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lang w:eastAsia="zh-CN"/>
              </w:rPr>
              <w:t>是否需要图纸等资料</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bl>
    <w:p>
      <w:pPr>
        <w:pStyle w:val="21"/>
        <w:snapToGrid w:val="0"/>
        <w:spacing w:before="0" w:after="0" w:line="360" w:lineRule="auto"/>
        <w:jc w:val="left"/>
        <w:rPr>
          <w:rStyle w:val="20"/>
          <w:rFonts w:hint="eastAsia" w:ascii="仿宋" w:hAnsi="仿宋" w:eastAsia="仿宋" w:cs="仿宋"/>
          <w:b/>
          <w:bCs/>
          <w:kern w:val="2"/>
          <w:sz w:val="24"/>
          <w:szCs w:val="24"/>
          <w:lang w:val="en-US" w:eastAsia="zh-CN"/>
        </w:rPr>
      </w:pPr>
    </w:p>
    <w:p>
      <w:pPr>
        <w:jc w:val="center"/>
        <w:rPr>
          <w:rStyle w:val="20"/>
          <w:rFonts w:hint="eastAsia" w:ascii="仿宋" w:hAnsi="仿宋" w:eastAsia="仿宋" w:cs="仿宋"/>
          <w:sz w:val="24"/>
          <w:szCs w:val="24"/>
        </w:rPr>
      </w:pPr>
      <w:r>
        <w:rPr>
          <w:rStyle w:val="20"/>
          <w:rFonts w:hint="eastAsia" w:ascii="仿宋" w:hAnsi="仿宋" w:eastAsia="仿宋" w:cs="仿宋"/>
          <w:sz w:val="24"/>
          <w:szCs w:val="24"/>
          <w:lang w:val="en-US" w:eastAsia="zh-CN"/>
        </w:rPr>
        <w:t xml:space="preserve">                         </w:t>
      </w:r>
      <w:r>
        <w:rPr>
          <w:rStyle w:val="20"/>
          <w:rFonts w:hint="eastAsia" w:ascii="仿宋" w:hAnsi="仿宋" w:eastAsia="仿宋" w:cs="仿宋"/>
          <w:sz w:val="24"/>
          <w:szCs w:val="24"/>
          <w:lang w:eastAsia="zh-CN"/>
        </w:rPr>
        <w:t>供应商</w:t>
      </w:r>
      <w:r>
        <w:rPr>
          <w:rStyle w:val="20"/>
          <w:rFonts w:hint="eastAsia" w:ascii="仿宋" w:hAnsi="仿宋" w:eastAsia="仿宋" w:cs="仿宋"/>
          <w:sz w:val="24"/>
          <w:szCs w:val="24"/>
        </w:rPr>
        <w:t>：</w:t>
      </w:r>
      <w:r>
        <w:rPr>
          <w:rStyle w:val="20"/>
          <w:rFonts w:hint="eastAsia" w:ascii="仿宋" w:hAnsi="仿宋" w:eastAsia="仿宋" w:cs="仿宋"/>
          <w:sz w:val="24"/>
          <w:szCs w:val="24"/>
          <w:lang w:eastAsia="zh-CN"/>
        </w:rPr>
        <w:t>（</w:t>
      </w:r>
      <w:r>
        <w:rPr>
          <w:rStyle w:val="20"/>
          <w:rFonts w:hint="eastAsia" w:ascii="仿宋" w:hAnsi="仿宋" w:eastAsia="仿宋" w:cs="仿宋"/>
          <w:sz w:val="24"/>
          <w:szCs w:val="24"/>
        </w:rPr>
        <w:t>公章</w:t>
      </w:r>
      <w:r>
        <w:rPr>
          <w:rStyle w:val="20"/>
          <w:rFonts w:hint="eastAsia" w:ascii="仿宋" w:hAnsi="仿宋" w:eastAsia="仿宋" w:cs="仿宋"/>
          <w:sz w:val="24"/>
          <w:szCs w:val="24"/>
          <w:lang w:eastAsia="zh-CN"/>
        </w:rPr>
        <w:t>）</w:t>
      </w:r>
    </w:p>
    <w:p>
      <w:pPr>
        <w:pStyle w:val="9"/>
        <w:rPr>
          <w:rFonts w:hint="eastAsia" w:ascii="仿宋" w:hAnsi="仿宋" w:eastAsia="仿宋" w:cs="仿宋"/>
        </w:rPr>
      </w:pPr>
    </w:p>
    <w:p>
      <w:pPr>
        <w:ind w:firstLine="5040" w:firstLineChars="2100"/>
        <w:rPr>
          <w:rStyle w:val="20"/>
          <w:rFonts w:hint="eastAsia" w:ascii="仿宋" w:hAnsi="仿宋" w:eastAsia="仿宋" w:cs="仿宋"/>
          <w:sz w:val="24"/>
          <w:szCs w:val="24"/>
        </w:rPr>
      </w:pPr>
      <w:r>
        <w:rPr>
          <w:rStyle w:val="20"/>
          <w:rFonts w:hint="eastAsia" w:ascii="仿宋" w:hAnsi="仿宋" w:eastAsia="仿宋" w:cs="仿宋"/>
          <w:sz w:val="24"/>
          <w:szCs w:val="24"/>
        </w:rPr>
        <w:t>法定代表人：</w:t>
      </w:r>
      <w:r>
        <w:rPr>
          <w:rStyle w:val="20"/>
          <w:rFonts w:hint="eastAsia" w:ascii="仿宋" w:hAnsi="仿宋" w:eastAsia="仿宋" w:cs="仿宋"/>
          <w:sz w:val="24"/>
          <w:szCs w:val="24"/>
          <w:lang w:eastAsia="zh-CN"/>
        </w:rPr>
        <w:t>（</w:t>
      </w:r>
      <w:r>
        <w:rPr>
          <w:rStyle w:val="20"/>
          <w:rFonts w:hint="eastAsia" w:ascii="仿宋" w:hAnsi="仿宋" w:eastAsia="仿宋" w:cs="仿宋"/>
          <w:sz w:val="24"/>
          <w:szCs w:val="24"/>
        </w:rPr>
        <w:t>签字或盖章</w:t>
      </w:r>
      <w:r>
        <w:rPr>
          <w:rStyle w:val="20"/>
          <w:rFonts w:hint="eastAsia" w:ascii="仿宋" w:hAnsi="仿宋" w:eastAsia="仿宋" w:cs="仿宋"/>
          <w:sz w:val="24"/>
          <w:szCs w:val="24"/>
          <w:lang w:eastAsia="zh-CN"/>
        </w:rPr>
        <w:t>）</w:t>
      </w:r>
    </w:p>
    <w:p>
      <w:pPr>
        <w:pStyle w:val="9"/>
        <w:rPr>
          <w:rFonts w:hint="eastAsia" w:ascii="仿宋" w:hAnsi="仿宋" w:eastAsia="仿宋" w:cs="仿宋"/>
        </w:rPr>
      </w:pPr>
    </w:p>
    <w:p>
      <w:pPr>
        <w:snapToGrid w:val="0"/>
        <w:spacing w:before="0" w:after="0" w:line="360" w:lineRule="auto"/>
        <w:ind w:firstLine="5040" w:firstLineChars="2100"/>
        <w:jc w:val="right"/>
        <w:rPr>
          <w:rStyle w:val="20"/>
          <w:rFonts w:hint="eastAsia" w:ascii="仿宋" w:hAnsi="仿宋" w:eastAsia="仿宋" w:cs="仿宋"/>
          <w:b w:val="0"/>
          <w:bCs w:val="0"/>
          <w:kern w:val="2"/>
          <w:sz w:val="24"/>
          <w:szCs w:val="24"/>
          <w:lang w:val="en-US" w:eastAsia="zh-CN"/>
        </w:rPr>
      </w:pPr>
      <w:r>
        <w:rPr>
          <w:rStyle w:val="20"/>
          <w:rFonts w:hint="eastAsia" w:ascii="仿宋" w:hAnsi="仿宋" w:eastAsia="仿宋" w:cs="仿宋"/>
          <w:sz w:val="24"/>
          <w:szCs w:val="24"/>
        </w:rPr>
        <w:t>日期：</w:t>
      </w:r>
      <w:r>
        <w:rPr>
          <w:rStyle w:val="20"/>
          <w:rFonts w:hint="eastAsia" w:ascii="仿宋" w:hAnsi="仿宋" w:eastAsia="仿宋" w:cs="仿宋"/>
          <w:sz w:val="24"/>
          <w:szCs w:val="24"/>
          <w:lang w:val="en-US" w:eastAsia="zh-CN"/>
        </w:rPr>
        <w:t xml:space="preserve">   </w:t>
      </w:r>
      <w:r>
        <w:rPr>
          <w:rStyle w:val="20"/>
          <w:rFonts w:hint="eastAsia" w:ascii="仿宋" w:hAnsi="仿宋" w:eastAsia="仿宋" w:cs="仿宋"/>
          <w:sz w:val="24"/>
          <w:szCs w:val="24"/>
        </w:rPr>
        <w:t>年     月     日</w:t>
      </w:r>
    </w:p>
    <w:p>
      <w:pPr>
        <w:pStyle w:val="15"/>
        <w:rPr>
          <w:rFonts w:ascii="仿宋_GB2312" w:eastAsia="仿宋_GB2312"/>
          <w:sz w:val="24"/>
          <w:szCs w:val="24"/>
          <w:lang w:val="zh-CN"/>
        </w:rPr>
      </w:pPr>
    </w:p>
    <w:p>
      <w:pPr>
        <w:rPr>
          <w:rFonts w:hint="eastAsia"/>
          <w:lang w:eastAsia="zh-CN"/>
        </w:rPr>
      </w:pPr>
    </w:p>
    <w:p>
      <w:pPr>
        <w:pStyle w:val="15"/>
        <w:ind w:left="0" w:leftChars="0" w:firstLine="0" w:firstLineChars="0"/>
        <w:rPr>
          <w:rFonts w:hint="default" w:ascii="仿宋_GB2312" w:hAnsi="Times New Roman" w:eastAsia="仿宋_GB2312" w:cs="Times New Roman"/>
          <w:spacing w:val="-17"/>
          <w:sz w:val="32"/>
          <w:szCs w:val="32"/>
          <w:lang w:val="en-US" w:eastAsia="zh-CN"/>
        </w:rPr>
      </w:pPr>
    </w:p>
    <w:sectPr>
      <w:footerReference r:id="rId3" w:type="default"/>
      <w:pgSz w:w="11906" w:h="16838"/>
      <w:pgMar w:top="1418" w:right="1588" w:bottom="1418" w:left="1588"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968223"/>
    </w:sdtPr>
    <w:sdtEndPr>
      <w:rPr>
        <w:rFonts w:asciiTheme="minorEastAsia" w:hAnsiTheme="minorEastAsia" w:eastAsiaTheme="minorEastAsia"/>
        <w:sz w:val="28"/>
        <w:szCs w:val="28"/>
      </w:rPr>
    </w:sdtEndPr>
    <w:sdtContent>
      <w:p>
        <w:pPr>
          <w:pStyle w:val="7"/>
          <w:jc w:val="cente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rPr>
          <w:t>- 1 -</w:t>
        </w:r>
        <w:r>
          <w:rPr>
            <w:rFonts w:asciiTheme="minorEastAsia" w:hAnsiTheme="minorEastAsia" w:eastAsiaTheme="minorEastAsia"/>
            <w:sz w:val="28"/>
            <w:szCs w:val="28"/>
          </w:rP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A1107B"/>
    <w:multiLevelType w:val="singleLevel"/>
    <w:tmpl w:val="EAA1107B"/>
    <w:lvl w:ilvl="0" w:tentative="0">
      <w:start w:val="1"/>
      <w:numFmt w:val="decimalEnclosedCircleChinese"/>
      <w:suff w:val="nothing"/>
      <w:lvlText w:val="%1　"/>
      <w:lvlJc w:val="left"/>
      <w:pPr>
        <w:ind w:left="0" w:firstLine="400"/>
      </w:pPr>
      <w:rPr>
        <w:rFonts w:hint="eastAsia"/>
      </w:rPr>
    </w:lvl>
  </w:abstractNum>
  <w:abstractNum w:abstractNumId="1">
    <w:nsid w:val="37C4DA15"/>
    <w:multiLevelType w:val="singleLevel"/>
    <w:tmpl w:val="37C4DA15"/>
    <w:lvl w:ilvl="0" w:tentative="0">
      <w:start w:val="1"/>
      <w:numFmt w:val="decimal"/>
      <w:suff w:val="nothing"/>
      <w:lvlText w:val="%1．"/>
      <w:lvlJc w:val="left"/>
      <w:pPr>
        <w:ind w:left="0" w:firstLine="400"/>
      </w:pPr>
      <w:rPr>
        <w:rFonts w:hint="default"/>
      </w:rPr>
    </w:lvl>
  </w:abstractNum>
  <w:abstractNum w:abstractNumId="2">
    <w:nsid w:val="39E01FD0"/>
    <w:multiLevelType w:val="singleLevel"/>
    <w:tmpl w:val="39E01FD0"/>
    <w:lvl w:ilvl="0" w:tentative="0">
      <w:start w:val="1"/>
      <w:numFmt w:val="decimal"/>
      <w:suff w:val="nothing"/>
      <w:lvlText w:val="%1．"/>
      <w:lvlJc w:val="left"/>
      <w:pPr>
        <w:ind w:left="0" w:firstLine="400"/>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ZjYjYxNzIwZWYwMTExNzc0OTgwMzc5MTI0MWRhZTcifQ=="/>
  </w:docVars>
  <w:rsids>
    <w:rsidRoot w:val="00172A27"/>
    <w:rsid w:val="0001314A"/>
    <w:rsid w:val="000149AB"/>
    <w:rsid w:val="000263F8"/>
    <w:rsid w:val="000A6233"/>
    <w:rsid w:val="001137D5"/>
    <w:rsid w:val="00130E23"/>
    <w:rsid w:val="00143B7D"/>
    <w:rsid w:val="0015385D"/>
    <w:rsid w:val="0017255E"/>
    <w:rsid w:val="00186E63"/>
    <w:rsid w:val="001B29C7"/>
    <w:rsid w:val="001B7AAA"/>
    <w:rsid w:val="001D05DD"/>
    <w:rsid w:val="001D1D0D"/>
    <w:rsid w:val="001F73AD"/>
    <w:rsid w:val="00224430"/>
    <w:rsid w:val="002A60C4"/>
    <w:rsid w:val="0031053B"/>
    <w:rsid w:val="0031183A"/>
    <w:rsid w:val="00365574"/>
    <w:rsid w:val="0037287E"/>
    <w:rsid w:val="00383603"/>
    <w:rsid w:val="00392A16"/>
    <w:rsid w:val="003C17D2"/>
    <w:rsid w:val="00431720"/>
    <w:rsid w:val="0048045A"/>
    <w:rsid w:val="00482143"/>
    <w:rsid w:val="00511AD1"/>
    <w:rsid w:val="00523242"/>
    <w:rsid w:val="00562AE5"/>
    <w:rsid w:val="005B59AB"/>
    <w:rsid w:val="005D05AF"/>
    <w:rsid w:val="00615380"/>
    <w:rsid w:val="00633D00"/>
    <w:rsid w:val="0064165D"/>
    <w:rsid w:val="00645913"/>
    <w:rsid w:val="0064635A"/>
    <w:rsid w:val="00663837"/>
    <w:rsid w:val="006645B4"/>
    <w:rsid w:val="00696E20"/>
    <w:rsid w:val="006B658D"/>
    <w:rsid w:val="006C3C42"/>
    <w:rsid w:val="006D1C94"/>
    <w:rsid w:val="006D54D3"/>
    <w:rsid w:val="00702562"/>
    <w:rsid w:val="007050AC"/>
    <w:rsid w:val="00707552"/>
    <w:rsid w:val="00707B46"/>
    <w:rsid w:val="00712B61"/>
    <w:rsid w:val="00724FAF"/>
    <w:rsid w:val="007345CA"/>
    <w:rsid w:val="007530C7"/>
    <w:rsid w:val="007717FD"/>
    <w:rsid w:val="00774AA8"/>
    <w:rsid w:val="007D254D"/>
    <w:rsid w:val="007D5541"/>
    <w:rsid w:val="007D66EB"/>
    <w:rsid w:val="007F1FA5"/>
    <w:rsid w:val="008665CB"/>
    <w:rsid w:val="00882681"/>
    <w:rsid w:val="008A394D"/>
    <w:rsid w:val="008E1B69"/>
    <w:rsid w:val="008E1D95"/>
    <w:rsid w:val="00927EF2"/>
    <w:rsid w:val="00941DC3"/>
    <w:rsid w:val="0094594F"/>
    <w:rsid w:val="00967DB3"/>
    <w:rsid w:val="00991830"/>
    <w:rsid w:val="009B2BFE"/>
    <w:rsid w:val="009C0AEE"/>
    <w:rsid w:val="00A1192A"/>
    <w:rsid w:val="00A314E2"/>
    <w:rsid w:val="00A821A7"/>
    <w:rsid w:val="00A8614E"/>
    <w:rsid w:val="00AC1DE0"/>
    <w:rsid w:val="00B205A2"/>
    <w:rsid w:val="00B31EF5"/>
    <w:rsid w:val="00B33D49"/>
    <w:rsid w:val="00B34312"/>
    <w:rsid w:val="00B73734"/>
    <w:rsid w:val="00B95D74"/>
    <w:rsid w:val="00BA680E"/>
    <w:rsid w:val="00BD5397"/>
    <w:rsid w:val="00BF3E3B"/>
    <w:rsid w:val="00C070D6"/>
    <w:rsid w:val="00C13AC9"/>
    <w:rsid w:val="00C232C6"/>
    <w:rsid w:val="00C351FF"/>
    <w:rsid w:val="00C61F6F"/>
    <w:rsid w:val="00C758C9"/>
    <w:rsid w:val="00C97CB9"/>
    <w:rsid w:val="00CF7828"/>
    <w:rsid w:val="00D677CD"/>
    <w:rsid w:val="00D83219"/>
    <w:rsid w:val="00D91C5A"/>
    <w:rsid w:val="00DA4613"/>
    <w:rsid w:val="00DC1DD6"/>
    <w:rsid w:val="00DC5DA5"/>
    <w:rsid w:val="00DD0516"/>
    <w:rsid w:val="00DD673B"/>
    <w:rsid w:val="00E0423E"/>
    <w:rsid w:val="00E301CB"/>
    <w:rsid w:val="00E31898"/>
    <w:rsid w:val="00E37F37"/>
    <w:rsid w:val="00E45453"/>
    <w:rsid w:val="00E613EB"/>
    <w:rsid w:val="00EA2274"/>
    <w:rsid w:val="00EB4F35"/>
    <w:rsid w:val="00EB6236"/>
    <w:rsid w:val="00ED7734"/>
    <w:rsid w:val="00F64B2B"/>
    <w:rsid w:val="00F83D6E"/>
    <w:rsid w:val="00FD1F91"/>
    <w:rsid w:val="01DA788A"/>
    <w:rsid w:val="03D1726D"/>
    <w:rsid w:val="057D4BE3"/>
    <w:rsid w:val="063E0A32"/>
    <w:rsid w:val="06474A71"/>
    <w:rsid w:val="09992B4F"/>
    <w:rsid w:val="0BCA048F"/>
    <w:rsid w:val="0CB74F37"/>
    <w:rsid w:val="0CBB7B4F"/>
    <w:rsid w:val="0DD56120"/>
    <w:rsid w:val="0F175A76"/>
    <w:rsid w:val="105579C4"/>
    <w:rsid w:val="114F0340"/>
    <w:rsid w:val="12AB67D2"/>
    <w:rsid w:val="138B0CB1"/>
    <w:rsid w:val="154342FD"/>
    <w:rsid w:val="19A7355E"/>
    <w:rsid w:val="1A3731FE"/>
    <w:rsid w:val="1B4724FF"/>
    <w:rsid w:val="1C764F2D"/>
    <w:rsid w:val="1CA60AF0"/>
    <w:rsid w:val="1D685107"/>
    <w:rsid w:val="1E14013B"/>
    <w:rsid w:val="1E623FD6"/>
    <w:rsid w:val="1E6325EF"/>
    <w:rsid w:val="1E7C727F"/>
    <w:rsid w:val="1ED14E57"/>
    <w:rsid w:val="211749EB"/>
    <w:rsid w:val="240E3DAA"/>
    <w:rsid w:val="24860255"/>
    <w:rsid w:val="24990161"/>
    <w:rsid w:val="25207829"/>
    <w:rsid w:val="258779D8"/>
    <w:rsid w:val="286F2FA1"/>
    <w:rsid w:val="28D27B04"/>
    <w:rsid w:val="295A24A6"/>
    <w:rsid w:val="29C4587E"/>
    <w:rsid w:val="2A9D68A5"/>
    <w:rsid w:val="2B9C4B6B"/>
    <w:rsid w:val="2CC048AF"/>
    <w:rsid w:val="2DF45CF7"/>
    <w:rsid w:val="2FE92250"/>
    <w:rsid w:val="2FEC2F3D"/>
    <w:rsid w:val="30562FA1"/>
    <w:rsid w:val="34216160"/>
    <w:rsid w:val="342476B4"/>
    <w:rsid w:val="3508634D"/>
    <w:rsid w:val="355410AE"/>
    <w:rsid w:val="37240058"/>
    <w:rsid w:val="38E726E0"/>
    <w:rsid w:val="394E42C6"/>
    <w:rsid w:val="39700927"/>
    <w:rsid w:val="3E3C1261"/>
    <w:rsid w:val="409E00B6"/>
    <w:rsid w:val="41773A03"/>
    <w:rsid w:val="42AB54D0"/>
    <w:rsid w:val="42C910A8"/>
    <w:rsid w:val="436037BB"/>
    <w:rsid w:val="44656DC0"/>
    <w:rsid w:val="446C3951"/>
    <w:rsid w:val="45EE1552"/>
    <w:rsid w:val="467F21AA"/>
    <w:rsid w:val="46BB0A69"/>
    <w:rsid w:val="475E6263"/>
    <w:rsid w:val="478101A3"/>
    <w:rsid w:val="492B444D"/>
    <w:rsid w:val="4C6B08E0"/>
    <w:rsid w:val="4F02606E"/>
    <w:rsid w:val="4F271630"/>
    <w:rsid w:val="50FC6B65"/>
    <w:rsid w:val="51A1586A"/>
    <w:rsid w:val="51DE5EF9"/>
    <w:rsid w:val="531813D7"/>
    <w:rsid w:val="566413BC"/>
    <w:rsid w:val="573945F7"/>
    <w:rsid w:val="578D7C5F"/>
    <w:rsid w:val="5915699E"/>
    <w:rsid w:val="59751278"/>
    <w:rsid w:val="5A5437EC"/>
    <w:rsid w:val="5AD50D46"/>
    <w:rsid w:val="5D317D47"/>
    <w:rsid w:val="5EA14200"/>
    <w:rsid w:val="5F2E297A"/>
    <w:rsid w:val="628338D5"/>
    <w:rsid w:val="62D90A3C"/>
    <w:rsid w:val="64176ECE"/>
    <w:rsid w:val="6613112A"/>
    <w:rsid w:val="66D46CA4"/>
    <w:rsid w:val="671169F6"/>
    <w:rsid w:val="674D777B"/>
    <w:rsid w:val="697D2992"/>
    <w:rsid w:val="6A585F3B"/>
    <w:rsid w:val="6C6C6CE1"/>
    <w:rsid w:val="6EB810B6"/>
    <w:rsid w:val="70447B2F"/>
    <w:rsid w:val="716C312C"/>
    <w:rsid w:val="71C477E1"/>
    <w:rsid w:val="73875072"/>
    <w:rsid w:val="738C4FDF"/>
    <w:rsid w:val="73D62658"/>
    <w:rsid w:val="74A4534E"/>
    <w:rsid w:val="75B177A1"/>
    <w:rsid w:val="761B566E"/>
    <w:rsid w:val="76F31295"/>
    <w:rsid w:val="79A8143C"/>
    <w:rsid w:val="7A050D39"/>
    <w:rsid w:val="7BB73BB8"/>
    <w:rsid w:val="7C3E5C19"/>
    <w:rsid w:val="7CD12A58"/>
    <w:rsid w:val="7D0823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spacing w:before="50" w:after="50"/>
      <w:outlineLvl w:val="1"/>
    </w:pPr>
    <w:rPr>
      <w:rFonts w:eastAsia="黑体"/>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8"/>
      <w:szCs w:val="28"/>
      <w:lang w:val="zh-CN" w:eastAsia="zh-CN" w:bidi="zh-CN"/>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19"/>
    <w:semiHidden/>
    <w:unhideWhenUsed/>
    <w:qFormat/>
    <w:uiPriority w:val="99"/>
    <w:rPr>
      <w:sz w:val="18"/>
      <w:szCs w:val="18"/>
    </w:rPr>
  </w:style>
  <w:style w:type="paragraph" w:styleId="7">
    <w:name w:val="footer"/>
    <w:basedOn w:val="1"/>
    <w:link w:val="16"/>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qFormat/>
    <w:uiPriority w:val="99"/>
    <w:pPr>
      <w:spacing w:after="120" w:line="480" w:lineRule="auto"/>
    </w:pPr>
  </w:style>
  <w:style w:type="table" w:styleId="11">
    <w:name w:val="Table Grid"/>
    <w:basedOn w:val="1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3">
    <w:name w:val="page number"/>
    <w:basedOn w:val="12"/>
    <w:qFormat/>
    <w:uiPriority w:val="99"/>
  </w:style>
  <w:style w:type="character" w:styleId="14">
    <w:name w:val="Hyperlink"/>
    <w:basedOn w:val="12"/>
    <w:unhideWhenUsed/>
    <w:qFormat/>
    <w:uiPriority w:val="99"/>
    <w:rPr>
      <w:color w:val="0000FF" w:themeColor="hyperlink"/>
      <w:u w:val="single"/>
    </w:rPr>
  </w:style>
  <w:style w:type="paragraph" w:styleId="15">
    <w:name w:val="List Paragraph"/>
    <w:basedOn w:val="1"/>
    <w:qFormat/>
    <w:uiPriority w:val="34"/>
    <w:pPr>
      <w:ind w:firstLine="420" w:firstLineChars="200"/>
    </w:pPr>
  </w:style>
  <w:style w:type="character" w:customStyle="1" w:styleId="16">
    <w:name w:val="页脚 Char"/>
    <w:basedOn w:val="12"/>
    <w:link w:val="7"/>
    <w:qFormat/>
    <w:uiPriority w:val="99"/>
    <w:rPr>
      <w:rFonts w:ascii="Times New Roman" w:hAnsi="Times New Roman" w:eastAsia="宋体" w:cs="Times New Roman"/>
      <w:sz w:val="18"/>
      <w:szCs w:val="18"/>
    </w:rPr>
  </w:style>
  <w:style w:type="character" w:customStyle="1" w:styleId="17">
    <w:name w:val="页眉 Char"/>
    <w:basedOn w:val="12"/>
    <w:link w:val="8"/>
    <w:qFormat/>
    <w:uiPriority w:val="99"/>
    <w:rPr>
      <w:sz w:val="18"/>
      <w:szCs w:val="18"/>
    </w:rPr>
  </w:style>
  <w:style w:type="character" w:customStyle="1" w:styleId="18">
    <w:name w:val="日期 Char"/>
    <w:basedOn w:val="12"/>
    <w:link w:val="5"/>
    <w:semiHidden/>
    <w:qFormat/>
    <w:uiPriority w:val="99"/>
  </w:style>
  <w:style w:type="character" w:customStyle="1" w:styleId="19">
    <w:name w:val="批注框文本 Char"/>
    <w:basedOn w:val="12"/>
    <w:link w:val="6"/>
    <w:semiHidden/>
    <w:qFormat/>
    <w:uiPriority w:val="99"/>
    <w:rPr>
      <w:sz w:val="18"/>
      <w:szCs w:val="18"/>
    </w:rPr>
  </w:style>
  <w:style w:type="character" w:customStyle="1" w:styleId="20">
    <w:name w:val="NormalCharacter"/>
    <w:qFormat/>
    <w:uiPriority w:val="0"/>
  </w:style>
  <w:style w:type="paragraph" w:customStyle="1" w:styleId="21">
    <w:name w:val="UserStyle_40"/>
    <w:qFormat/>
    <w:uiPriority w:val="0"/>
    <w:pPr>
      <w:spacing w:before="120" w:after="240"/>
      <w:jc w:val="both"/>
      <w:textAlignment w:val="baseline"/>
    </w:pPr>
    <w:rPr>
      <w:rFonts w:ascii="Times New Roman" w:hAnsi="Times New Roman" w:eastAsia="Calibri" w:cstheme="minorBidi"/>
      <w:sz w:val="22"/>
      <w:szCs w:val="22"/>
      <w:lang w:val="ru-RU"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A884A7-86FB-4924-B6FF-3DA89EDC8756}">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25</Pages>
  <Words>8150</Words>
  <Characters>8506</Characters>
  <Lines>48</Lines>
  <Paragraphs>13</Paragraphs>
  <TotalTime>4</TotalTime>
  <ScaleCrop>false</ScaleCrop>
  <LinksUpToDate>false</LinksUpToDate>
  <CharactersWithSpaces>8743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2021-01-22T23:26:00Z</dcterms:created>
  <dc:creator>Windows</dc:creator>
  <cp:lastModifiedBy>张毅</cp:lastModifiedBy>
  <cp:lastPrinted>2023-10-31T06:18:00Z</cp:lastPrinted>
  <dcterms:modified xsi:type="dcterms:W3CDTF">2023-11-01T08:36:53Z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E610EBC703F04CBE82132C8859959214</vt:lpwstr>
  </property>
</Properties>
</file>