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 xml:space="preserve">  </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山东</w:t>
      </w:r>
      <w:r>
        <w:rPr>
          <w:rFonts w:hint="eastAsia" w:ascii="方正小标宋简体" w:hAnsi="Times New Roman" w:eastAsia="方正小标宋简体" w:cs="Times New Roman"/>
          <w:sz w:val="44"/>
          <w:szCs w:val="44"/>
          <w:lang w:eastAsia="zh-CN"/>
        </w:rPr>
        <w:t>岱岳制盐</w:t>
      </w:r>
      <w:r>
        <w:rPr>
          <w:rFonts w:hint="eastAsia" w:ascii="方正小标宋简体" w:hAnsi="Times New Roman" w:eastAsia="方正小标宋简体" w:cs="Times New Roman"/>
          <w:sz w:val="44"/>
          <w:szCs w:val="44"/>
        </w:rPr>
        <w:t>有限公司</w:t>
      </w:r>
    </w:p>
    <w:p>
      <w:pPr>
        <w:spacing w:line="0" w:lineRule="atLeast"/>
        <w:jc w:val="center"/>
        <w:rPr>
          <w:rFonts w:hint="eastAsia" w:ascii="方正小标宋简体" w:hAnsi="宋体" w:eastAsia="方正小标宋简体"/>
          <w:sz w:val="44"/>
          <w:szCs w:val="44"/>
          <w:lang w:eastAsia="zh-CN"/>
        </w:rPr>
      </w:pPr>
      <w:r>
        <w:rPr>
          <w:rFonts w:hint="eastAsia" w:ascii="方正小标宋简体" w:hAnsi="宋体" w:eastAsia="方正小标宋简体"/>
          <w:sz w:val="44"/>
          <w:szCs w:val="44"/>
          <w:lang w:eastAsia="zh-CN"/>
        </w:rPr>
        <w:t>制盐车间储罐上部护栏拆除更换及钢架结构除锈刷漆施工项目</w:t>
      </w:r>
    </w:p>
    <w:p>
      <w:pPr>
        <w:spacing w:line="0" w:lineRule="atLeast"/>
        <w:jc w:val="center"/>
        <w:rPr>
          <w:rFonts w:ascii="方正小标宋简体" w:hAnsi="宋体" w:eastAsia="方正小标宋简体"/>
          <w:sz w:val="44"/>
          <w:szCs w:val="44"/>
        </w:rPr>
      </w:pPr>
    </w:p>
    <w:p>
      <w:pPr>
        <w:spacing w:line="0" w:lineRule="atLeast"/>
        <w:jc w:val="center"/>
        <w:rPr>
          <w:rFonts w:ascii="方正小标宋简体" w:hAnsi="宋体" w:eastAsia="方正小标宋简体"/>
          <w:sz w:val="44"/>
          <w:szCs w:val="44"/>
        </w:rPr>
      </w:pPr>
    </w:p>
    <w:p>
      <w:pPr>
        <w:spacing w:line="0" w:lineRule="atLeast"/>
        <w:jc w:val="center"/>
        <w:rPr>
          <w:rFonts w:ascii="方正小标宋简体" w:hAnsi="宋体" w:eastAsia="方正小标宋简体"/>
          <w:sz w:val="72"/>
          <w:szCs w:val="72"/>
        </w:rPr>
      </w:pPr>
      <w:r>
        <w:rPr>
          <w:rFonts w:hint="eastAsia" w:ascii="方正小标宋简体" w:hAnsi="黑体" w:eastAsia="方正小标宋简体" w:cs="Times New Roman"/>
          <w:sz w:val="72"/>
          <w:szCs w:val="72"/>
        </w:rPr>
        <w:t>招标文件</w:t>
      </w:r>
    </w:p>
    <w:p>
      <w:pPr>
        <w:jc w:val="center"/>
        <w:rPr>
          <w:rFonts w:ascii="楷体_GB2312" w:hAnsi="Times New Roman" w:eastAsia="楷体_GB2312" w:cs="Times New Roman"/>
          <w:sz w:val="32"/>
          <w:szCs w:val="32"/>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Times New Roman" w:hAnsi="Times New Roman" w:eastAsia="宋体" w:cs="Times New Roman"/>
          <w:szCs w:val="24"/>
        </w:rPr>
      </w:pPr>
    </w:p>
    <w:p>
      <w:pPr>
        <w:spacing w:line="400" w:lineRule="exact"/>
        <w:jc w:val="center"/>
        <w:rPr>
          <w:rFonts w:ascii="黑体" w:hAnsi="黑体" w:eastAsia="黑体" w:cs="Times New Roman"/>
          <w:sz w:val="32"/>
          <w:szCs w:val="24"/>
        </w:rPr>
      </w:pPr>
    </w:p>
    <w:p>
      <w:pPr>
        <w:spacing w:line="400" w:lineRule="exact"/>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w:t>
      </w: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3040</w:t>
      </w: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pStyle w:val="3"/>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spacing w:line="400" w:lineRule="exact"/>
        <w:jc w:val="both"/>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eastAsia" w:ascii="方正小标宋简体" w:hAnsi="宋体" w:eastAsia="方正小标宋简体" w:cs="Times New Roman"/>
          <w:sz w:val="44"/>
          <w:szCs w:val="44"/>
        </w:rPr>
      </w:pP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sz w:val="32"/>
          <w:szCs w:val="24"/>
        </w:rPr>
        <w:t>年</w:t>
      </w:r>
      <w:r>
        <w:rPr>
          <w:rFonts w:hint="eastAsia" w:ascii="黑体" w:hAnsi="黑体" w:eastAsia="黑体" w:cs="Times New Roman"/>
          <w:sz w:val="32"/>
          <w:szCs w:val="24"/>
          <w:lang w:val="en-US" w:eastAsia="zh-CN"/>
        </w:rPr>
        <w:t>8</w:t>
      </w:r>
      <w:r>
        <w:rPr>
          <w:rFonts w:hint="eastAsia" w:ascii="黑体" w:hAnsi="黑体" w:eastAsia="黑体" w:cs="Times New Roman"/>
          <w:sz w:val="32"/>
          <w:szCs w:val="24"/>
        </w:rPr>
        <w:t>月</w:t>
      </w:r>
      <w:r>
        <w:rPr>
          <w:rFonts w:hint="eastAsia" w:ascii="黑体" w:hAnsi="黑体" w:eastAsia="黑体" w:cs="Times New Roman"/>
          <w:sz w:val="32"/>
          <w:szCs w:val="24"/>
          <w:lang w:val="en-US" w:eastAsia="zh-CN"/>
        </w:rPr>
        <w:t>14日</w:t>
      </w:r>
    </w:p>
    <w:p>
      <w:pPr>
        <w:jc w:val="center"/>
        <w:rPr>
          <w:rFonts w:ascii="方正小标宋简体" w:hAnsi="宋体" w:eastAsia="方正小标宋简体" w:cs="Times New Roman"/>
          <w:sz w:val="44"/>
          <w:szCs w:val="44"/>
        </w:rPr>
      </w:pPr>
      <w:r>
        <w:rPr>
          <w:rFonts w:hint="eastAsia" w:ascii="方正小标宋简体" w:hAnsi="宋体" w:eastAsia="方正小标宋简体" w:cs="Times New Roman"/>
          <w:sz w:val="44"/>
          <w:szCs w:val="44"/>
        </w:rPr>
        <w:t>第一章 招标公告</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一、招标条件</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制盐车间储罐上部护栏拆除更换及钢架结构除锈刷漆施工项目</w:t>
      </w:r>
      <w:r>
        <w:rPr>
          <w:rFonts w:hint="eastAsia" w:ascii="仿宋_GB2312" w:hAnsi="宋体" w:eastAsia="仿宋_GB2312" w:cs="Times New Roman"/>
          <w:sz w:val="32"/>
          <w:szCs w:val="32"/>
        </w:rPr>
        <w:t>，招标单位为山东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有限公司，该项目已具备招标条件，现对该项目</w:t>
      </w:r>
      <w:r>
        <w:rPr>
          <w:rFonts w:hint="eastAsia" w:ascii="仿宋_GB2312" w:hAnsi="宋体" w:eastAsia="仿宋_GB2312" w:cs="Times New Roman"/>
          <w:sz w:val="32"/>
          <w:szCs w:val="32"/>
          <w:lang w:eastAsia="zh-CN"/>
        </w:rPr>
        <w:t>施工</w:t>
      </w:r>
      <w:r>
        <w:rPr>
          <w:rFonts w:hint="eastAsia" w:ascii="仿宋_GB2312" w:hAnsi="宋体" w:eastAsia="仿宋_GB2312" w:cs="Times New Roman"/>
          <w:sz w:val="32"/>
          <w:szCs w:val="32"/>
        </w:rPr>
        <w:t>进行公开招标。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二、项目概况与招标范围</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sz w:val="32"/>
          <w:szCs w:val="32"/>
          <w:lang w:eastAsia="zh-CN"/>
        </w:rPr>
        <w:t>项目名称：山东岱岳制盐有限公司制盐车间储罐上部护栏拆除更换及钢架结构除锈刷漆施工项目</w:t>
      </w:r>
      <w:r>
        <w:rPr>
          <w:rFonts w:hint="eastAsia" w:ascii="仿宋_GB2312" w:hAnsi="宋体" w:eastAsia="仿宋_GB2312" w:cs="Times New Roman"/>
          <w:sz w:val="32"/>
          <w:szCs w:val="32"/>
          <w:lang w:val="zh-CN" w:eastAsia="zh-CN"/>
        </w:rPr>
        <w:t>。</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eastAsia="zh-CN"/>
        </w:rPr>
        <w:t>2、项目地点：山东岱岳制盐有限公司制盐车间指定位置。</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lang w:val="en-US" w:eastAsia="zh-CN"/>
        </w:rPr>
        <w:t>3、</w:t>
      </w:r>
      <w:r>
        <w:rPr>
          <w:rFonts w:hint="eastAsia" w:ascii="仿宋_GB2312" w:hAnsi="宋体" w:eastAsia="仿宋_GB2312" w:cs="Times New Roman"/>
          <w:sz w:val="32"/>
          <w:szCs w:val="32"/>
          <w:lang w:eastAsia="zh-CN"/>
        </w:rPr>
        <w:t>项目施工内容：</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3.1 制盐车间12台储罐上部通道护栏、灯架、穿线管的拆除更换，所有钢架结构及搅拌设备的除锈刷漆，高约18m，其中包含通道护栏及钢架支撑、灯管及穿线管、11台搅拌电机设备、原卤桶上部张拉膜支架等，为交钥匙工程；</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3.2 </w:t>
      </w:r>
      <w:r>
        <w:rPr>
          <w:rFonts w:hint="eastAsia" w:ascii="仿宋_GB2312" w:hAnsi="宋体" w:eastAsia="仿宋_GB2312" w:cs="Times New Roman"/>
          <w:kern w:val="2"/>
          <w:sz w:val="32"/>
          <w:szCs w:val="32"/>
          <w:lang w:val="en-US" w:eastAsia="zh-CN" w:bidi="ar-SA"/>
        </w:rPr>
        <w:t>制盐车间储罐上部通道护栏拆除更</w:t>
      </w:r>
      <w:r>
        <w:rPr>
          <w:rFonts w:hint="eastAsia" w:ascii="仿宋_GB2312" w:hAnsi="宋体" w:eastAsia="仿宋_GB2312" w:cs="Times New Roman"/>
          <w:sz w:val="32"/>
          <w:szCs w:val="32"/>
          <w:lang w:val="en-US" w:eastAsia="zh-CN"/>
        </w:rPr>
        <w:t>换：</w:t>
      </w:r>
    </w:p>
    <w:p>
      <w:pPr>
        <w:numPr>
          <w:ilvl w:val="-1"/>
          <w:numId w:val="0"/>
        </w:numPr>
        <w:ind w:firstLine="640" w:firstLineChars="200"/>
        <w:jc w:val="left"/>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3.2.1 原护栏高1.03m，采用φ57mm圆管焊接组成，立杆间距1-1.2m，横向间距约0.35m焊接2条40mm扁钢做加强杆，照明灯间距约6m一个，护栏、灯管及穿线管整体腐蚀严重，需拆除并下运至指定位置，重新焊接并安装新护栏、灯管及穿线管等；</w:t>
      </w:r>
    </w:p>
    <w:p>
      <w:pPr>
        <w:pStyle w:val="2"/>
        <w:numPr>
          <w:ilvl w:val="0"/>
          <w:numId w:val="0"/>
        </w:numPr>
        <w:ind w:firstLine="640" w:firstLineChars="200"/>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3.2.2 通道总长约375m，两侧护栏总长约750m，护栏、灯管及穿线管具体规格型号及用量如下：</w:t>
      </w:r>
    </w:p>
    <w:tbl>
      <w:tblPr>
        <w:tblStyle w:val="9"/>
        <w:tblW w:w="0" w:type="auto"/>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361"/>
        <w:gridCol w:w="1679"/>
        <w:gridCol w:w="958"/>
        <w:gridCol w:w="1004"/>
        <w:gridCol w:w="2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序号</w:t>
            </w:r>
          </w:p>
        </w:tc>
        <w:tc>
          <w:tcPr>
            <w:tcW w:w="1361"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名称</w:t>
            </w:r>
          </w:p>
        </w:tc>
        <w:tc>
          <w:tcPr>
            <w:tcW w:w="1679"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规格型号</w:t>
            </w:r>
          </w:p>
        </w:tc>
        <w:tc>
          <w:tcPr>
            <w:tcW w:w="958"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单位</w:t>
            </w:r>
          </w:p>
        </w:tc>
        <w:tc>
          <w:tcPr>
            <w:tcW w:w="1004"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数量</w:t>
            </w:r>
          </w:p>
        </w:tc>
        <w:tc>
          <w:tcPr>
            <w:tcW w:w="2698"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1</w:t>
            </w:r>
          </w:p>
        </w:tc>
        <w:tc>
          <w:tcPr>
            <w:tcW w:w="1361"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碳钢圆管</w:t>
            </w:r>
          </w:p>
        </w:tc>
        <w:tc>
          <w:tcPr>
            <w:tcW w:w="1679"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φ42*3mm</w:t>
            </w:r>
          </w:p>
        </w:tc>
        <w:tc>
          <w:tcPr>
            <w:tcW w:w="958"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m</w:t>
            </w:r>
          </w:p>
        </w:tc>
        <w:tc>
          <w:tcPr>
            <w:tcW w:w="1004"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1800</w:t>
            </w:r>
          </w:p>
        </w:tc>
        <w:tc>
          <w:tcPr>
            <w:tcW w:w="2698"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护栏主要材料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2</w:t>
            </w:r>
          </w:p>
        </w:tc>
        <w:tc>
          <w:tcPr>
            <w:tcW w:w="1361"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穿线管</w:t>
            </w:r>
          </w:p>
        </w:tc>
        <w:tc>
          <w:tcPr>
            <w:tcW w:w="1679"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Φ26*2.75mm</w:t>
            </w:r>
          </w:p>
        </w:tc>
        <w:tc>
          <w:tcPr>
            <w:tcW w:w="958"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m</w:t>
            </w:r>
          </w:p>
        </w:tc>
        <w:tc>
          <w:tcPr>
            <w:tcW w:w="1004"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500</w:t>
            </w:r>
          </w:p>
        </w:tc>
        <w:tc>
          <w:tcPr>
            <w:tcW w:w="2698"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照明灯管及电缆穿线管用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3</w:t>
            </w:r>
          </w:p>
        </w:tc>
        <w:tc>
          <w:tcPr>
            <w:tcW w:w="1361"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扁铁</w:t>
            </w:r>
          </w:p>
        </w:tc>
        <w:tc>
          <w:tcPr>
            <w:tcW w:w="1679"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40*6mm</w:t>
            </w:r>
          </w:p>
        </w:tc>
        <w:tc>
          <w:tcPr>
            <w:tcW w:w="958"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m</w:t>
            </w:r>
          </w:p>
        </w:tc>
        <w:tc>
          <w:tcPr>
            <w:tcW w:w="1004"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1600</w:t>
            </w:r>
          </w:p>
        </w:tc>
        <w:tc>
          <w:tcPr>
            <w:tcW w:w="2698"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护栏加强筋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4</w:t>
            </w:r>
          </w:p>
        </w:tc>
        <w:tc>
          <w:tcPr>
            <w:tcW w:w="1361"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角钢</w:t>
            </w:r>
          </w:p>
        </w:tc>
        <w:tc>
          <w:tcPr>
            <w:tcW w:w="1679"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40*40*4mm</w:t>
            </w:r>
          </w:p>
        </w:tc>
        <w:tc>
          <w:tcPr>
            <w:tcW w:w="958"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m</w:t>
            </w:r>
          </w:p>
        </w:tc>
        <w:tc>
          <w:tcPr>
            <w:tcW w:w="1004"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100</w:t>
            </w:r>
          </w:p>
        </w:tc>
        <w:tc>
          <w:tcPr>
            <w:tcW w:w="2698"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照明灯管支撑</w:t>
            </w:r>
          </w:p>
        </w:tc>
      </w:tr>
    </w:tbl>
    <w:p>
      <w:pPr>
        <w:pStyle w:val="2"/>
        <w:numPr>
          <w:ilvl w:val="0"/>
          <w:numId w:val="0"/>
        </w:numPr>
        <w:ind w:firstLine="640" w:firstLineChars="200"/>
        <w:textAlignment w:val="baseline"/>
        <w:rPr>
          <w:rFonts w:hint="eastAsia" w:ascii="仿宋_GB2312" w:hAnsi="宋体" w:eastAsia="仿宋_GB2312" w:cs="Times New Roman"/>
          <w:b w:val="0"/>
          <w:bCs w:val="0"/>
          <w:kern w:val="2"/>
          <w:sz w:val="32"/>
          <w:szCs w:val="32"/>
          <w:lang w:val="en-US" w:eastAsia="zh-CN" w:bidi="ar-SA"/>
        </w:rPr>
      </w:pPr>
      <w:r>
        <w:rPr>
          <w:rFonts w:hint="eastAsia" w:ascii="仿宋_GB2312" w:hAnsi="宋体" w:eastAsia="仿宋_GB2312" w:cs="Times New Roman"/>
          <w:kern w:val="2"/>
          <w:sz w:val="32"/>
          <w:szCs w:val="32"/>
          <w:lang w:val="en-US" w:eastAsia="zh-CN" w:bidi="ar-SA"/>
        </w:rPr>
        <w:t>备注：以上材料用量为预估量，</w:t>
      </w:r>
      <w:r>
        <w:rPr>
          <w:rFonts w:hint="eastAsia" w:ascii="仿宋_GB2312" w:hAnsi="宋体" w:eastAsia="仿宋_GB2312" w:cs="Times New Roman"/>
          <w:b w:val="0"/>
          <w:i w:val="0"/>
          <w:caps w:val="0"/>
          <w:spacing w:val="0"/>
          <w:w w:val="100"/>
          <w:sz w:val="32"/>
          <w:szCs w:val="32"/>
          <w:lang w:val="en-US" w:eastAsia="zh-CN"/>
        </w:rPr>
        <w:t>建议供应商踏勘现场后自行组织</w:t>
      </w:r>
      <w:r>
        <w:rPr>
          <w:rFonts w:hint="eastAsia" w:ascii="仿宋_GB2312" w:hAnsi="宋体" w:eastAsia="仿宋_GB2312" w:cs="Times New Roman"/>
          <w:kern w:val="2"/>
          <w:sz w:val="32"/>
          <w:szCs w:val="32"/>
          <w:lang w:val="en-US" w:eastAsia="zh-CN" w:bidi="ar-SA"/>
        </w:rPr>
        <w:t>。</w:t>
      </w:r>
    </w:p>
    <w:p>
      <w:pPr>
        <w:pStyle w:val="2"/>
        <w:snapToGrid/>
        <w:spacing w:before="0" w:beforeAutospacing="0" w:after="0" w:afterAutospacing="0" w:line="240" w:lineRule="auto"/>
        <w:ind w:left="0" w:leftChars="0"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3.2.3 供应商应在拆除灯管及穿线管后将电缆重新穿管并敷设到位。</w:t>
      </w:r>
    </w:p>
    <w:p>
      <w:pPr>
        <w:pStyle w:val="2"/>
        <w:snapToGrid/>
        <w:spacing w:before="0" w:beforeAutospacing="0" w:after="0" w:afterAutospacing="0" w:line="240" w:lineRule="auto"/>
        <w:ind w:left="0" w:leftChars="0"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3.2.4 施工所需的钢材由采购人负责。</w:t>
      </w:r>
    </w:p>
    <w:p>
      <w:pPr>
        <w:pStyle w:val="2"/>
        <w:snapToGrid/>
        <w:spacing w:before="0" w:beforeAutospacing="0" w:after="0" w:afterAutospacing="0" w:line="240" w:lineRule="auto"/>
        <w:ind w:left="0" w:leftChars="0"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 xml:space="preserve">3.3 </w:t>
      </w:r>
      <w:r>
        <w:rPr>
          <w:rFonts w:hint="eastAsia" w:ascii="仿宋_GB2312" w:hAnsi="宋体" w:eastAsia="仿宋_GB2312" w:cs="Times New Roman"/>
          <w:sz w:val="32"/>
          <w:szCs w:val="32"/>
          <w:lang w:eastAsia="zh-CN"/>
        </w:rPr>
        <w:t>钢架结构及搅拌设备除锈刷漆：</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3.3.1 施工内容</w:t>
      </w:r>
      <w:r>
        <w:rPr>
          <w:rFonts w:hint="eastAsia" w:ascii="仿宋_GB2312" w:hAnsi="宋体" w:eastAsia="仿宋_GB2312" w:cs="Times New Roman"/>
          <w:sz w:val="32"/>
          <w:szCs w:val="32"/>
          <w:lang w:val="en-US" w:eastAsia="zh-CN"/>
        </w:rPr>
        <w:t>包含所有通道护栏及钢架支撑、灯管及穿线管支撑、原卤桶上部张拉膜钢结构支架等部件的除锈刷漆，其中</w:t>
      </w:r>
      <w:r>
        <w:rPr>
          <w:rFonts w:hint="eastAsia" w:ascii="仿宋_GB2312" w:hAnsi="宋体" w:eastAsia="仿宋_GB2312" w:cs="Times New Roman"/>
          <w:kern w:val="2"/>
          <w:sz w:val="32"/>
          <w:szCs w:val="32"/>
          <w:lang w:val="en-US" w:eastAsia="zh-CN" w:bidi="ar-SA"/>
        </w:rPr>
        <w:t>除锈刷漆预估施工量约3500m²，通道护栏、灯管及穿线管仅为刷漆，故刷漆预估施工量约1600m²，罐顶搅拌设备共计有11台套，具体除锈刷漆面积由供应商踏勘现场后自行组织</w:t>
      </w:r>
      <w:r>
        <w:rPr>
          <w:rFonts w:hint="eastAsia" w:ascii="仿宋_GB2312" w:hAnsi="宋体" w:eastAsia="仿宋_GB2312" w:cs="Times New Roman"/>
          <w:sz w:val="32"/>
          <w:szCs w:val="32"/>
          <w:lang w:val="en-US" w:eastAsia="zh-CN"/>
        </w:rPr>
        <w:t>。</w:t>
      </w:r>
    </w:p>
    <w:p>
      <w:pPr>
        <w:pStyle w:val="2"/>
        <w:ind w:firstLine="640"/>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3.3.2 除锈方式要求使用人工机械除锈，具体除锈要求如下：</w:t>
      </w:r>
    </w:p>
    <w:p>
      <w:pPr>
        <w:pStyle w:val="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 xml:space="preserve"> ① 原卤桶上部张拉膜钢结构支架、通道钢架支撑等钢结构表面锈蚀严重的，用角磨机或钢丝刷去除结构表面锈皮和松动铁锈，避免因锈蚀太厚或锈皮松动，导致附着不牢，或无法附着，手工打磨除锈等级达到St 3级。</w:t>
      </w:r>
    </w:p>
    <w:p>
      <w:pPr>
        <w:pStyle w:val="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② 对表面有油污的部位，用专用的清洗剂去除表面油污，避免因油污导致涂层不附着或附着不牢。</w:t>
      </w:r>
    </w:p>
    <w:p>
      <w:pPr>
        <w:pStyle w:val="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3.3.3 刷漆要求如下：</w:t>
      </w:r>
    </w:p>
    <w:p>
      <w:pPr>
        <w:pStyle w:val="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① 所有部件及设备在除尘、除油、除锈、除老旧涂层后涂刷至少4遍防腐漆，厚度要求≥300μm，其中焊接点位有凹凸不平的焊接纹路的，应着重增加刷漆遍数及厚度；</w:t>
      </w:r>
    </w:p>
    <w:p>
      <w:pPr>
        <w:pStyle w:val="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② 防腐漆要求选择使用耐盐性、耐候性、耐高低温性能优异的油漆，具体品牌、规格型号、性能等内容由供应商在施工方案中详述。</w:t>
      </w:r>
    </w:p>
    <w:p>
      <w:pPr>
        <w:pStyle w:val="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3.4 施工所需的钢材由采购人负责，供应商负责除钢材以外的所有材料及吊车、扎架子等辅助施工设备</w:t>
      </w:r>
      <w:bookmarkStart w:id="2" w:name="_GoBack"/>
      <w:bookmarkEnd w:id="2"/>
      <w:r>
        <w:rPr>
          <w:rFonts w:hint="eastAsia" w:ascii="仿宋_GB2312" w:hAnsi="宋体" w:eastAsia="仿宋_GB2312" w:cs="Times New Roman"/>
          <w:sz w:val="32"/>
          <w:szCs w:val="32"/>
          <w:lang w:val="en-US" w:eastAsia="zh-CN"/>
        </w:rPr>
        <w:t>。</w:t>
      </w:r>
    </w:p>
    <w:p>
      <w:pPr>
        <w:pStyle w:val="2"/>
        <w:ind w:firstLine="640"/>
        <w:textAlignment w:val="baseline"/>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3.5 工程量预计如下：</w:t>
      </w:r>
    </w:p>
    <w:tbl>
      <w:tblPr>
        <w:tblStyle w:val="8"/>
        <w:tblW w:w="0" w:type="auto"/>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2094"/>
        <w:gridCol w:w="946"/>
        <w:gridCol w:w="1143"/>
        <w:gridCol w:w="3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序号</w:t>
            </w:r>
          </w:p>
        </w:tc>
        <w:tc>
          <w:tcPr>
            <w:tcW w:w="2094"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项目名称</w:t>
            </w:r>
          </w:p>
        </w:tc>
        <w:tc>
          <w:tcPr>
            <w:tcW w:w="946"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单位</w:t>
            </w:r>
          </w:p>
        </w:tc>
        <w:tc>
          <w:tcPr>
            <w:tcW w:w="1143"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数量</w:t>
            </w:r>
          </w:p>
        </w:tc>
        <w:tc>
          <w:tcPr>
            <w:tcW w:w="3830"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1</w:t>
            </w:r>
          </w:p>
        </w:tc>
        <w:tc>
          <w:tcPr>
            <w:tcW w:w="2094"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通道护栏拆除更换</w:t>
            </w:r>
          </w:p>
        </w:tc>
        <w:tc>
          <w:tcPr>
            <w:tcW w:w="946"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m</w:t>
            </w:r>
          </w:p>
        </w:tc>
        <w:tc>
          <w:tcPr>
            <w:tcW w:w="1143"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750</w:t>
            </w:r>
          </w:p>
        </w:tc>
        <w:tc>
          <w:tcPr>
            <w:tcW w:w="3830"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为两侧护栏总长，含护栏、灯管、穿线管的拆除及更换。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2</w:t>
            </w:r>
          </w:p>
        </w:tc>
        <w:tc>
          <w:tcPr>
            <w:tcW w:w="2094"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钢架结构除锈刷漆</w:t>
            </w:r>
          </w:p>
        </w:tc>
        <w:tc>
          <w:tcPr>
            <w:tcW w:w="946"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m²</w:t>
            </w:r>
          </w:p>
        </w:tc>
        <w:tc>
          <w:tcPr>
            <w:tcW w:w="1143"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3500</w:t>
            </w:r>
          </w:p>
        </w:tc>
        <w:tc>
          <w:tcPr>
            <w:tcW w:w="3830"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通道支撑、原卤桶上部张拉膜支架等部件的除锈刷漆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3</w:t>
            </w:r>
          </w:p>
        </w:tc>
        <w:tc>
          <w:tcPr>
            <w:tcW w:w="2094"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通道护栏、灯管、穿线管刷漆</w:t>
            </w:r>
          </w:p>
        </w:tc>
        <w:tc>
          <w:tcPr>
            <w:tcW w:w="946"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m²</w:t>
            </w:r>
          </w:p>
        </w:tc>
        <w:tc>
          <w:tcPr>
            <w:tcW w:w="1143"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1600</w:t>
            </w:r>
          </w:p>
        </w:tc>
        <w:tc>
          <w:tcPr>
            <w:tcW w:w="3830"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含护栏、灯管、穿线管等新装部件的刷漆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4</w:t>
            </w:r>
          </w:p>
        </w:tc>
        <w:tc>
          <w:tcPr>
            <w:tcW w:w="2094"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搅拌设备除锈刷漆</w:t>
            </w:r>
          </w:p>
        </w:tc>
        <w:tc>
          <w:tcPr>
            <w:tcW w:w="946"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台套</w:t>
            </w:r>
          </w:p>
        </w:tc>
        <w:tc>
          <w:tcPr>
            <w:tcW w:w="1143" w:type="dxa"/>
          </w:tcPr>
          <w:p>
            <w:pPr>
              <w:pStyle w:val="2"/>
              <w:ind w:left="0" w:leftChars="0" w:firstLine="0" w:firstLineChars="0"/>
              <w:jc w:val="center"/>
              <w:rPr>
                <w:rFonts w:hint="default"/>
                <w:vertAlign w:val="baseline"/>
                <w:lang w:val="en-US" w:eastAsia="zh-CN"/>
              </w:rPr>
            </w:pPr>
            <w:r>
              <w:rPr>
                <w:rFonts w:hint="eastAsia"/>
                <w:vertAlign w:val="baseline"/>
                <w:lang w:val="en-US" w:eastAsia="zh-CN"/>
              </w:rPr>
              <w:t>11</w:t>
            </w:r>
          </w:p>
        </w:tc>
        <w:tc>
          <w:tcPr>
            <w:tcW w:w="3830" w:type="dxa"/>
          </w:tcPr>
          <w:p>
            <w:pPr>
              <w:pStyle w:val="2"/>
              <w:ind w:left="0" w:leftChars="0" w:firstLine="0" w:firstLineChars="0"/>
              <w:jc w:val="center"/>
              <w:rPr>
                <w:rFonts w:hint="eastAsia"/>
                <w:vertAlign w:val="baseline"/>
                <w:lang w:val="en-US" w:eastAsia="zh-CN"/>
              </w:rPr>
            </w:pPr>
            <w:r>
              <w:rPr>
                <w:rFonts w:hint="eastAsia"/>
                <w:vertAlign w:val="baseline"/>
                <w:lang w:val="en-US" w:eastAsia="zh-CN"/>
              </w:rPr>
              <w:t>含电机、搅拌机及设备支撑架的除锈刷漆</w:t>
            </w:r>
          </w:p>
        </w:tc>
      </w:tr>
    </w:tbl>
    <w:p>
      <w:pPr>
        <w:pStyle w:val="2"/>
        <w:numPr>
          <w:ilvl w:val="-1"/>
          <w:numId w:val="0"/>
        </w:numPr>
        <w:snapToGrid/>
        <w:spacing w:before="0" w:beforeAutospacing="0" w:after="0" w:afterAutospacing="0" w:line="240" w:lineRule="auto"/>
        <w:ind w:left="0" w:leftChars="0" w:firstLine="0" w:firstLineChars="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 xml:space="preserve">    以上工程量为预估量，最终</w:t>
      </w:r>
      <w:r>
        <w:rPr>
          <w:rFonts w:hint="eastAsia" w:ascii="仿宋_GB2312" w:hAnsi="宋体" w:eastAsia="仿宋_GB2312" w:cs="Times New Roman"/>
          <w:sz w:val="32"/>
          <w:szCs w:val="32"/>
          <w:lang w:val="en-US" w:eastAsia="zh-CN"/>
        </w:rPr>
        <w:t>工程量以实际验收数量为准，施工单价以供应商所报单价计算，最终金额以第三方审计结果为准；</w:t>
      </w:r>
    </w:p>
    <w:p>
      <w:pPr>
        <w:pStyle w:val="2"/>
        <w:numPr>
          <w:ilvl w:val="-1"/>
          <w:numId w:val="0"/>
        </w:numPr>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4、工程承包范围：</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费用包含除护栏更换用钢材以外的所有材料，运输、装卸、焊接、人工、吊装、机械、安全施工、保养、税费、保险、环保、第三方验收及审计、检测等一切费用，为交钥匙工程；</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5、付款方式：</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本工程无预付款,施工完成经验收合格并出具审计报告后，付至审计金额的85%,同时开具全额增值税专用发票。余款15%作为质保金,质保期</w:t>
      </w:r>
      <w:r>
        <w:rPr>
          <w:rFonts w:hint="eastAsia" w:ascii="仿宋_GB2312" w:hAnsi="宋体" w:eastAsia="仿宋_GB2312" w:cs="Times New Roman"/>
          <w:color w:val="auto"/>
          <w:kern w:val="2"/>
          <w:sz w:val="32"/>
          <w:szCs w:val="32"/>
          <w:lang w:val="en-US" w:eastAsia="zh-CN" w:bidi="ar-SA"/>
        </w:rPr>
        <w:t>3</w:t>
      </w:r>
      <w:r>
        <w:rPr>
          <w:rFonts w:hint="eastAsia" w:ascii="仿宋_GB2312" w:hAnsi="宋体" w:eastAsia="仿宋_GB2312" w:cs="Times New Roman"/>
          <w:kern w:val="2"/>
          <w:sz w:val="32"/>
          <w:szCs w:val="32"/>
          <w:lang w:val="en-US" w:eastAsia="zh-CN" w:bidi="ar-SA"/>
        </w:rPr>
        <w:t>年，期满后无质量问题在满1年后20个工作日内支付结算金额的5%，无质量问题在满2年后20个工作日内支付结算金额的5%，无质量问题在满3年后20个工作日内一次无息付清，付款方式为现汇或电子承兑支付；</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6、其它要求：</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6.1 建议供应商提前踏勘现场后再进行报价；</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6.2 施工过程中，要服从甲方管理，按甲方现场提出的质量要求进行整改；</w:t>
      </w:r>
    </w:p>
    <w:p>
      <w:pPr>
        <w:pStyle w:val="2"/>
        <w:snapToGrid/>
        <w:spacing w:before="0" w:beforeAutospacing="0" w:after="0" w:afterAutospacing="0" w:line="240" w:lineRule="auto"/>
        <w:ind w:left="0" w:leftChars="0"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6.3 供应商需提供高空、吊装、焊接等作业人员的资质证书，符合安全标准；</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6.4 签订合同后供应商需提供不低于150万/人的意外保险证明；</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6.5 开工前需提供详细的施工方案及安全、环保施工方案，详列施工防护措施、环保措施、安全施工措施等，施工措施必须符合安全及环保要求；</w:t>
      </w:r>
    </w:p>
    <w:p>
      <w:pPr>
        <w:pStyle w:val="2"/>
        <w:snapToGrid/>
        <w:spacing w:before="0" w:beforeAutospacing="0" w:after="0" w:afterAutospacing="0" w:line="240" w:lineRule="auto"/>
        <w:ind w:firstLine="640" w:firstLineChars="0"/>
        <w:jc w:val="left"/>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 xml:space="preserve">6.6 </w:t>
      </w:r>
      <w:r>
        <w:rPr>
          <w:rFonts w:hint="eastAsia" w:ascii="仿宋_GB2312" w:hAnsi="宋体" w:eastAsia="仿宋_GB2312" w:cs="Times New Roman"/>
          <w:sz w:val="32"/>
          <w:szCs w:val="32"/>
          <w:lang w:val="en-US" w:eastAsia="zh-CN"/>
        </w:rPr>
        <w:t>罐顶施工严禁铁锈、老旧漆块及护栏等杂物落入罐内，需提前考虑防掉落及人员防坠落措施；</w:t>
      </w:r>
    </w:p>
    <w:p>
      <w:pPr>
        <w:pStyle w:val="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6.7 钢架结构及搅拌设备在完成除锈后需经甲方现场管理人员确认方可进行下一步防腐刷漆工作；</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6.8 施工工艺流程：</w:t>
      </w:r>
    </w:p>
    <w:p>
      <w:pPr>
        <w:pStyle w:val="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由供应商在施工方案中自行提供，格式自拟；</w:t>
      </w:r>
    </w:p>
    <w:p>
      <w:pPr>
        <w:pStyle w:val="2"/>
        <w:snapToGrid/>
        <w:spacing w:before="0" w:beforeAutospacing="0" w:after="0" w:afterAutospacing="0" w:line="240" w:lineRule="auto"/>
        <w:ind w:firstLine="640" w:firstLineChars="200"/>
        <w:jc w:val="both"/>
        <w:textAlignment w:val="baseline"/>
        <w:rPr>
          <w:rFonts w:hint="eastAsia"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7、工期：</w:t>
      </w:r>
    </w:p>
    <w:p>
      <w:pPr>
        <w:pStyle w:val="2"/>
        <w:snapToGrid/>
        <w:spacing w:before="0" w:beforeAutospacing="0" w:after="0" w:afterAutospacing="0" w:line="240" w:lineRule="auto"/>
        <w:ind w:firstLine="640" w:firstLineChars="200"/>
        <w:jc w:val="both"/>
        <w:textAlignment w:val="baseline"/>
        <w:rPr>
          <w:rFonts w:hint="default" w:ascii="仿宋_GB2312" w:hAnsi="宋体" w:eastAsia="仿宋_GB2312" w:cs="Times New Roman"/>
          <w:kern w:val="2"/>
          <w:sz w:val="32"/>
          <w:szCs w:val="32"/>
          <w:lang w:val="en-US" w:eastAsia="zh-CN" w:bidi="ar-SA"/>
        </w:rPr>
      </w:pPr>
      <w:r>
        <w:rPr>
          <w:rFonts w:hint="eastAsia" w:ascii="仿宋_GB2312" w:hAnsi="宋体" w:eastAsia="仿宋_GB2312" w:cs="Times New Roman"/>
          <w:kern w:val="2"/>
          <w:sz w:val="32"/>
          <w:szCs w:val="32"/>
          <w:lang w:val="en-US" w:eastAsia="zh-CN" w:bidi="ar-SA"/>
        </w:rPr>
        <w:t>材料到场且满足施工条件，施工工期30日历天。</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三、投标人资格要求</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（一）投标人为具有独立法人资格的企业；具有独立订立合同的能力，具备出具商业增值税专用发票能力。</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（二）具有良好的商业信誉，投标人未被列入“信用中国”网站(www.creditchina.gov.cn)“失信被执行人”记录名单。</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（三）</w:t>
      </w:r>
      <w:r>
        <w:rPr>
          <w:rFonts w:hint="eastAsia" w:ascii="仿宋_GB2312" w:hAnsi="宋体" w:eastAsia="仿宋_GB2312" w:cs="Times New Roman"/>
          <w:sz w:val="32"/>
          <w:szCs w:val="32"/>
          <w:lang w:eastAsia="zh-CN"/>
        </w:rPr>
        <w:t>须具备有效的营业执照</w:t>
      </w:r>
      <w:r>
        <w:rPr>
          <w:rFonts w:hint="eastAsia" w:ascii="仿宋_GB2312" w:hAnsi="宋体" w:eastAsia="仿宋_GB2312" w:cs="Times New Roman"/>
          <w:sz w:val="32"/>
          <w:szCs w:val="32"/>
          <w:lang w:val="zh-CN" w:eastAsia="zh-CN"/>
        </w:rPr>
        <w:t>。</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（四）</w:t>
      </w:r>
      <w:r>
        <w:rPr>
          <w:rFonts w:hint="eastAsia" w:ascii="仿宋_GB2312" w:hAnsi="宋体" w:eastAsia="仿宋_GB2312" w:cs="Times New Roman"/>
          <w:sz w:val="32"/>
          <w:szCs w:val="32"/>
        </w:rPr>
        <w:t>本次招标不接受联合体投标。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四、招标文件的获取</w:t>
      </w:r>
    </w:p>
    <w:p>
      <w:pPr>
        <w:ind w:firstLine="640" w:firstLineChars="200"/>
        <w:rPr>
          <w:rFonts w:hint="eastAsia" w:ascii="仿宋_GB2312" w:hAnsi="宋体" w:eastAsia="仿宋_GB2312" w:cs="Times New Roman"/>
          <w:sz w:val="32"/>
          <w:szCs w:val="32"/>
          <w:lang w:eastAsia="zh-CN"/>
        </w:rPr>
      </w:pPr>
      <w:r>
        <w:rPr>
          <w:rFonts w:hint="eastAsia" w:ascii="仿宋_GB2312" w:hAnsi="宋体" w:eastAsia="仿宋_GB2312" w:cs="Times New Roman"/>
          <w:sz w:val="32"/>
          <w:szCs w:val="32"/>
        </w:rPr>
        <w:t>凡有意参加本次项目</w:t>
      </w:r>
      <w:r>
        <w:rPr>
          <w:rFonts w:hint="eastAsia" w:ascii="仿宋_GB2312" w:hAnsi="宋体" w:eastAsia="仿宋_GB2312" w:cs="Times New Roman"/>
          <w:sz w:val="32"/>
          <w:szCs w:val="32"/>
          <w:lang w:eastAsia="zh-CN"/>
        </w:rPr>
        <w:t>招标</w:t>
      </w:r>
      <w:r>
        <w:rPr>
          <w:rFonts w:hint="eastAsia" w:ascii="仿宋_GB2312" w:hAnsi="宋体" w:eastAsia="仿宋_GB2312" w:cs="Times New Roman"/>
          <w:sz w:val="32"/>
          <w:szCs w:val="32"/>
        </w:rPr>
        <w:t>的投标单位，须在</w:t>
      </w:r>
      <w:r>
        <w:rPr>
          <w:rFonts w:hint="eastAsia" w:ascii="仿宋_GB2312" w:hAnsi="宋体" w:eastAsia="仿宋_GB2312" w:cs="Times New Roman"/>
          <w:sz w:val="32"/>
          <w:szCs w:val="32"/>
          <w:lang w:eastAsia="zh-CN"/>
        </w:rPr>
        <w:t>投标</w:t>
      </w:r>
      <w:r>
        <w:rPr>
          <w:rFonts w:hint="eastAsia" w:ascii="仿宋_GB2312" w:hAnsi="宋体" w:eastAsia="仿宋_GB2312" w:cs="Times New Roman"/>
          <w:sz w:val="32"/>
          <w:szCs w:val="32"/>
        </w:rPr>
        <w:t>截止时间前在</w:t>
      </w:r>
      <w:r>
        <w:rPr>
          <w:rFonts w:hint="eastAsia" w:ascii="仿宋_GB2312" w:hAnsi="宋体" w:eastAsia="仿宋_GB2312" w:cs="Times New Roman"/>
          <w:sz w:val="32"/>
          <w:szCs w:val="32"/>
          <w:lang w:eastAsia="zh-CN"/>
        </w:rPr>
        <w:t>登录山东岱岳制盐有限公司官网（</w:t>
      </w:r>
      <w:r>
        <w:rPr>
          <w:rFonts w:hint="eastAsia" w:ascii="仿宋_GB2312" w:eastAsia="仿宋_GB2312"/>
          <w:sz w:val="30"/>
          <w:szCs w:val="30"/>
          <w:lang w:val="en-US" w:eastAsia="zh-CN"/>
        </w:rPr>
        <w:t>www.sddyzy.com）</w:t>
      </w:r>
      <w:r>
        <w:rPr>
          <w:rFonts w:hint="eastAsia" w:ascii="仿宋_GB2312" w:hAnsi="宋体" w:eastAsia="仿宋_GB2312" w:cs="Times New Roman"/>
          <w:sz w:val="32"/>
          <w:szCs w:val="32"/>
          <w:lang w:eastAsia="zh-CN"/>
        </w:rPr>
        <w:t>查看相关招标文件，</w:t>
      </w:r>
      <w:r>
        <w:rPr>
          <w:rFonts w:hint="eastAsia" w:ascii="仿宋_GB2312" w:hAnsi="宋体" w:eastAsia="仿宋_GB2312" w:cs="Times New Roman"/>
          <w:sz w:val="32"/>
          <w:szCs w:val="32"/>
        </w:rPr>
        <w:t>自行下载招标文件</w:t>
      </w:r>
      <w:r>
        <w:rPr>
          <w:rFonts w:hint="eastAsia" w:ascii="仿宋_GB2312" w:hAnsi="宋体" w:eastAsia="仿宋_GB2312" w:cs="Times New Roman"/>
          <w:sz w:val="32"/>
          <w:szCs w:val="32"/>
          <w:lang w:eastAsia="zh-CN"/>
        </w:rPr>
        <w:t>后进行线下报名，报名联系人：张毅，联系电话：</w:t>
      </w:r>
      <w:r>
        <w:rPr>
          <w:rFonts w:hint="eastAsia" w:ascii="仿宋_GB2312" w:hAnsi="宋体" w:eastAsia="仿宋_GB2312" w:cs="Times New Roman"/>
          <w:sz w:val="32"/>
          <w:szCs w:val="32"/>
          <w:lang w:val="en-US" w:eastAsia="zh-CN"/>
        </w:rPr>
        <w:t>13705382602</w:t>
      </w:r>
      <w:r>
        <w:rPr>
          <w:rFonts w:hint="eastAsia" w:ascii="仿宋_GB2312" w:hAnsi="宋体" w:eastAsia="仿宋_GB2312" w:cs="Times New Roman"/>
          <w:sz w:val="32"/>
          <w:szCs w:val="32"/>
          <w:lang w:eastAsia="zh-CN"/>
        </w:rPr>
        <w:t>。</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五、投标文件的递交</w:t>
      </w:r>
    </w:p>
    <w:p>
      <w:pPr>
        <w:ind w:firstLine="640" w:firstLineChars="200"/>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rPr>
        <w:t>（一）投标文件递交的截止时间（投标截止时间，下同）为</w:t>
      </w:r>
      <w:r>
        <w:rPr>
          <w:rFonts w:hint="eastAsia" w:ascii="仿宋_GB2312" w:hAnsi="宋体" w:eastAsia="仿宋_GB2312" w:cs="Times New Roman"/>
          <w:color w:val="FF0000"/>
          <w:sz w:val="32"/>
          <w:szCs w:val="32"/>
        </w:rPr>
        <w:t>2</w:t>
      </w:r>
      <w:r>
        <w:rPr>
          <w:rFonts w:hint="eastAsia" w:ascii="仿宋_GB2312" w:hAnsi="宋体" w:eastAsia="仿宋_GB2312" w:cs="Times New Roman"/>
          <w:color w:val="FF0000"/>
          <w:sz w:val="32"/>
          <w:szCs w:val="32"/>
          <w:lang w:val="en-US" w:eastAsia="zh-CN"/>
        </w:rPr>
        <w:t>023年8月17日8时00分</w:t>
      </w:r>
      <w:r>
        <w:rPr>
          <w:rFonts w:hint="eastAsia" w:ascii="仿宋_GB2312" w:hAnsi="宋体" w:eastAsia="仿宋_GB2312" w:cs="Times New Roman"/>
          <w:sz w:val="32"/>
          <w:szCs w:val="32"/>
          <w:lang w:val="en-US" w:eastAsia="zh-CN"/>
        </w:rPr>
        <w:t>，供应商应在截止时间前通过以下2种方式上传电子投标文件或邮寄至少2份纸质版投标资料</w:t>
      </w:r>
      <w:r>
        <w:rPr>
          <w:rFonts w:hint="eastAsia" w:ascii="仿宋_GB2312" w:hAnsi="黑体" w:eastAsia="仿宋_GB2312" w:cs="Times New Roman"/>
          <w:kern w:val="44"/>
          <w:sz w:val="32"/>
          <w:szCs w:val="44"/>
          <w:u w:val="none"/>
          <w:lang w:val="en-US" w:eastAsia="zh-CN"/>
        </w:rPr>
        <w:t>（加盖公章并密封）</w:t>
      </w:r>
      <w:r>
        <w:rPr>
          <w:rFonts w:hint="eastAsia" w:ascii="仿宋_GB2312" w:hAnsi="宋体" w:eastAsia="仿宋_GB2312" w:cs="Times New Roman"/>
          <w:sz w:val="32"/>
          <w:szCs w:val="32"/>
          <w:lang w:val="en-US" w:eastAsia="zh-CN"/>
        </w:rPr>
        <w:t>至采购人：：</w:t>
      </w:r>
    </w:p>
    <w:p>
      <w:pPr>
        <w:ind w:firstLine="640" w:firstLineChars="200"/>
        <w:rPr>
          <w:rFonts w:hint="eastAsia" w:ascii="仿宋_GB2312" w:hAnsi="宋体" w:eastAsia="仿宋_GB2312" w:cs="Times New Roman"/>
          <w:color w:val="auto"/>
          <w:sz w:val="32"/>
          <w:szCs w:val="32"/>
          <w:lang w:val="en-US" w:eastAsia="zh-CN"/>
        </w:rPr>
      </w:pPr>
      <w:r>
        <w:rPr>
          <w:rFonts w:hint="eastAsia" w:ascii="仿宋_GB2312" w:hAnsi="宋体" w:eastAsia="仿宋_GB2312" w:cs="Times New Roman"/>
          <w:sz w:val="32"/>
          <w:szCs w:val="32"/>
          <w:lang w:val="en-US" w:eastAsia="zh-CN"/>
        </w:rPr>
        <w:t>1、</w:t>
      </w:r>
      <w:r>
        <w:rPr>
          <w:rFonts w:hint="eastAsia" w:ascii="仿宋_GB2312" w:hAnsi="宋体" w:eastAsia="仿宋_GB2312" w:cs="Times New Roman"/>
          <w:color w:val="auto"/>
          <w:sz w:val="32"/>
          <w:szCs w:val="32"/>
          <w:lang w:val="en-US" w:eastAsia="zh-CN"/>
        </w:rPr>
        <w:fldChar w:fldCharType="begin"/>
      </w:r>
      <w:r>
        <w:rPr>
          <w:rFonts w:hint="eastAsia" w:ascii="仿宋_GB2312" w:hAnsi="宋体" w:eastAsia="仿宋_GB2312" w:cs="Times New Roman"/>
          <w:color w:val="auto"/>
          <w:sz w:val="32"/>
          <w:szCs w:val="32"/>
          <w:lang w:val="en-US" w:eastAsia="zh-CN"/>
        </w:rPr>
        <w:instrText xml:space="preserve"> HYPERLINK "mailto:报专用邮箱dyzy009@163.com；" </w:instrText>
      </w:r>
      <w:r>
        <w:rPr>
          <w:rFonts w:hint="eastAsia" w:ascii="仿宋_GB2312" w:hAnsi="宋体" w:eastAsia="仿宋_GB2312" w:cs="Times New Roman"/>
          <w:color w:val="auto"/>
          <w:sz w:val="32"/>
          <w:szCs w:val="32"/>
          <w:lang w:val="en-US" w:eastAsia="zh-CN"/>
        </w:rPr>
        <w:fldChar w:fldCharType="separate"/>
      </w:r>
      <w:r>
        <w:rPr>
          <w:rStyle w:val="12"/>
          <w:rFonts w:hint="eastAsia" w:ascii="仿宋_GB2312" w:hAnsi="宋体" w:eastAsia="仿宋_GB2312" w:cs="Times New Roman"/>
          <w:color w:val="auto"/>
          <w:sz w:val="32"/>
          <w:szCs w:val="32"/>
          <w:lang w:val="en-US" w:eastAsia="zh-CN"/>
        </w:rPr>
        <w:t>报专用邮箱</w:t>
      </w:r>
      <w:r>
        <w:rPr>
          <w:rStyle w:val="12"/>
          <w:rFonts w:hint="eastAsia" w:ascii="仿宋" w:hAnsi="仿宋" w:eastAsia="仿宋"/>
          <w:color w:val="auto"/>
          <w:sz w:val="30"/>
          <w:szCs w:val="30"/>
          <w:lang w:eastAsia="zh-CN"/>
        </w:rPr>
        <w:t>dyzy009@163.com</w:t>
      </w:r>
      <w:r>
        <w:rPr>
          <w:rStyle w:val="12"/>
          <w:rFonts w:hint="eastAsia" w:ascii="仿宋_GB2312" w:hAnsi="宋体" w:eastAsia="仿宋_GB2312" w:cs="Times New Roman"/>
          <w:color w:val="auto"/>
          <w:sz w:val="32"/>
          <w:szCs w:val="32"/>
          <w:lang w:val="en-US" w:eastAsia="zh-CN"/>
        </w:rPr>
        <w:t>；</w:t>
      </w:r>
      <w:r>
        <w:rPr>
          <w:rFonts w:hint="eastAsia" w:ascii="仿宋_GB2312" w:hAnsi="宋体" w:eastAsia="仿宋_GB2312" w:cs="Times New Roman"/>
          <w:color w:val="auto"/>
          <w:sz w:val="32"/>
          <w:szCs w:val="32"/>
          <w:lang w:val="en-US" w:eastAsia="zh-CN"/>
        </w:rPr>
        <w:fldChar w:fldCharType="end"/>
      </w:r>
    </w:p>
    <w:p>
      <w:pPr>
        <w:pStyle w:val="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3、邮寄地址及收件人：</w:t>
      </w:r>
    </w:p>
    <w:p>
      <w:pPr>
        <w:pStyle w:val="2"/>
        <w:rPr>
          <w:rFonts w:hint="eastAsia"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邮寄地址：山东省泰安市岱岳区大汶口石膏工业园区山东岱岳制盐有限公司新厂，生产管理部；</w:t>
      </w:r>
    </w:p>
    <w:p>
      <w:pPr>
        <w:pStyle w:val="2"/>
        <w:ind w:firstLine="640" w:firstLineChars="200"/>
        <w:rPr>
          <w:rFonts w:hint="eastAsia"/>
          <w:lang w:val="en-US" w:eastAsia="zh-CN"/>
        </w:rPr>
      </w:pPr>
      <w:r>
        <w:rPr>
          <w:rFonts w:hint="eastAsia" w:ascii="仿宋_GB2312" w:hAnsi="宋体" w:eastAsia="仿宋_GB2312" w:cs="Times New Roman"/>
          <w:sz w:val="32"/>
          <w:szCs w:val="32"/>
          <w:lang w:val="en-US" w:eastAsia="zh-CN"/>
        </w:rPr>
        <w:t>收件人：张毅，13705382602。</w:t>
      </w:r>
    </w:p>
    <w:p>
      <w:pPr>
        <w:ind w:firstLine="640" w:firstLineChars="200"/>
        <w:rPr>
          <w:rFonts w:hint="eastAsia" w:ascii="仿宋_GB2312" w:hAnsi="宋体" w:eastAsia="仿宋_GB2312" w:cs="Times New Roman"/>
          <w:sz w:val="32"/>
          <w:szCs w:val="32"/>
        </w:rPr>
      </w:pPr>
      <w:r>
        <w:rPr>
          <w:rFonts w:hint="eastAsia" w:ascii="仿宋_GB2312" w:hAnsi="宋体" w:eastAsia="仿宋_GB2312" w:cs="Times New Roman"/>
          <w:sz w:val="32"/>
          <w:szCs w:val="32"/>
        </w:rPr>
        <w:t>（二）逾期送达的投标文件，将予以拒收。</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六、开标时间及地点</w:t>
      </w:r>
    </w:p>
    <w:p>
      <w:pPr>
        <w:ind w:firstLine="640" w:firstLineChars="200"/>
        <w:rPr>
          <w:rFonts w:hint="default" w:ascii="仿宋_GB2312" w:hAnsi="宋体" w:eastAsia="仿宋_GB2312" w:cs="Times New Roman"/>
          <w:color w:val="FF0000"/>
          <w:sz w:val="32"/>
          <w:szCs w:val="32"/>
          <w:highlight w:val="none"/>
          <w:lang w:val="en-US" w:eastAsia="zh-CN"/>
        </w:rPr>
      </w:pPr>
      <w:r>
        <w:rPr>
          <w:rFonts w:hint="eastAsia" w:ascii="仿宋_GB2312" w:hAnsi="宋体" w:eastAsia="仿宋_GB2312" w:cs="Times New Roman"/>
          <w:sz w:val="32"/>
          <w:szCs w:val="32"/>
          <w:lang w:val="en-US" w:eastAsia="zh-CN"/>
        </w:rPr>
        <w:t>开标时间：</w:t>
      </w:r>
      <w:r>
        <w:rPr>
          <w:rFonts w:hint="eastAsia" w:ascii="仿宋_GB2312" w:hAnsi="宋体" w:eastAsia="仿宋_GB2312" w:cs="Times New Roman"/>
          <w:color w:val="FF0000"/>
          <w:sz w:val="32"/>
          <w:szCs w:val="32"/>
          <w:highlight w:val="none"/>
          <w:lang w:val="en-US" w:eastAsia="zh-CN"/>
        </w:rPr>
        <w:t>2023年8月17日上午8:30</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lang w:val="en-US" w:eastAsia="zh-CN"/>
        </w:rPr>
        <w:t>开标地点：技术中心2楼会议室</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 联系方式</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招标单位：山东</w:t>
      </w:r>
      <w:r>
        <w:rPr>
          <w:rFonts w:hint="eastAsia" w:ascii="仿宋_GB2312" w:hAnsi="宋体" w:eastAsia="仿宋_GB2312" w:cs="Times New Roman"/>
          <w:sz w:val="32"/>
          <w:szCs w:val="32"/>
          <w:lang w:eastAsia="zh-CN"/>
        </w:rPr>
        <w:t>岱岳制盐</w:t>
      </w:r>
      <w:r>
        <w:rPr>
          <w:rFonts w:hint="eastAsia" w:ascii="仿宋_GB2312" w:hAnsi="宋体" w:eastAsia="仿宋_GB2312" w:cs="Times New Roman"/>
          <w:sz w:val="32"/>
          <w:szCs w:val="32"/>
        </w:rPr>
        <w:t>有限公司</w:t>
      </w:r>
    </w:p>
    <w:p>
      <w:pPr>
        <w:widowControl/>
        <w:spacing w:line="360" w:lineRule="auto"/>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地    址：</w:t>
      </w:r>
      <w:r>
        <w:rPr>
          <w:rFonts w:hint="eastAsia" w:ascii="仿宋_GB2312" w:eastAsia="仿宋_GB2312"/>
          <w:sz w:val="30"/>
          <w:szCs w:val="30"/>
        </w:rPr>
        <w:t>泰安市大汶口石膏工业园</w:t>
      </w:r>
      <w:r>
        <w:rPr>
          <w:rFonts w:hint="eastAsia" w:ascii="仿宋_GB2312" w:eastAsia="仿宋_GB2312"/>
          <w:sz w:val="30"/>
          <w:szCs w:val="30"/>
          <w:lang w:eastAsia="zh-CN"/>
        </w:rPr>
        <w:t>区</w:t>
      </w:r>
    </w:p>
    <w:p>
      <w:pPr>
        <w:spacing w:line="360" w:lineRule="auto"/>
        <w:ind w:firstLine="600" w:firstLineChars="200"/>
        <w:rPr>
          <w:rFonts w:hint="default" w:ascii="仿宋_GB2312" w:eastAsia="仿宋_GB2312"/>
          <w:sz w:val="30"/>
          <w:szCs w:val="30"/>
          <w:lang w:val="en-US" w:eastAsia="zh-CN"/>
        </w:rPr>
      </w:pPr>
      <w:r>
        <w:rPr>
          <w:rFonts w:hint="eastAsia" w:ascii="仿宋_GB2312" w:eastAsia="仿宋_GB2312"/>
          <w:sz w:val="30"/>
          <w:szCs w:val="30"/>
        </w:rPr>
        <w:t>联</w:t>
      </w:r>
      <w:r>
        <w:rPr>
          <w:rFonts w:ascii="仿宋_GB2312" w:eastAsia="仿宋_GB2312"/>
          <w:sz w:val="30"/>
          <w:szCs w:val="30"/>
        </w:rPr>
        <w:t xml:space="preserve"> </w:t>
      </w:r>
      <w:r>
        <w:rPr>
          <w:rFonts w:hint="eastAsia" w:ascii="仿宋_GB2312" w:eastAsia="仿宋_GB2312"/>
          <w:sz w:val="30"/>
          <w:szCs w:val="30"/>
        </w:rPr>
        <w:t>系</w:t>
      </w:r>
      <w:r>
        <w:rPr>
          <w:rFonts w:ascii="仿宋_GB2312" w:eastAsia="仿宋_GB2312"/>
          <w:sz w:val="30"/>
          <w:szCs w:val="30"/>
        </w:rPr>
        <w:t xml:space="preserve"> </w:t>
      </w:r>
      <w:r>
        <w:rPr>
          <w:rFonts w:hint="eastAsia" w:ascii="仿宋_GB2312" w:eastAsia="仿宋_GB2312"/>
          <w:sz w:val="30"/>
          <w:szCs w:val="30"/>
        </w:rPr>
        <w:t>人：</w:t>
      </w:r>
      <w:r>
        <w:rPr>
          <w:rFonts w:hint="eastAsia" w:ascii="仿宋_GB2312" w:eastAsia="仿宋_GB2312"/>
          <w:sz w:val="30"/>
          <w:szCs w:val="30"/>
          <w:lang w:val="en-US" w:eastAsia="zh-CN"/>
        </w:rPr>
        <w:t>郑经理       张经理</w:t>
      </w:r>
    </w:p>
    <w:p>
      <w:pPr>
        <w:ind w:left="2096" w:leftChars="284" w:hanging="1500" w:hangingChars="500"/>
        <w:jc w:val="left"/>
        <w:rPr>
          <w:rFonts w:hint="eastAsia" w:ascii="仿宋_GB2312" w:hAnsi="宋体" w:eastAsia="仿宋_GB2312" w:cs="Times New Roman"/>
          <w:sz w:val="32"/>
          <w:szCs w:val="32"/>
        </w:rPr>
      </w:pPr>
      <w:r>
        <w:rPr>
          <w:rFonts w:hint="eastAsia" w:ascii="仿宋_GB2312" w:eastAsia="仿宋_GB2312"/>
          <w:sz w:val="30"/>
          <w:szCs w:val="30"/>
        </w:rPr>
        <w:t>移动电话</w:t>
      </w:r>
      <w:r>
        <w:rPr>
          <w:rFonts w:hint="eastAsia" w:ascii="仿宋_GB2312" w:eastAsia="仿宋_GB2312"/>
          <w:sz w:val="30"/>
          <w:szCs w:val="30"/>
          <w:lang w:eastAsia="zh-CN"/>
        </w:rPr>
        <w:t>：</w:t>
      </w:r>
      <w:r>
        <w:rPr>
          <w:rFonts w:hint="eastAsia" w:ascii="仿宋_GB2312" w:eastAsia="仿宋_GB2312"/>
          <w:sz w:val="30"/>
          <w:szCs w:val="30"/>
          <w:lang w:val="en-US" w:eastAsia="zh-CN"/>
        </w:rPr>
        <w:t>13127274866  13705382602</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电子邮箱：</w:t>
      </w:r>
      <w:r>
        <w:rPr>
          <w:rFonts w:hint="eastAsia" w:ascii="仿宋_GB2312" w:hAnsi="宋体" w:eastAsia="仿宋_GB2312" w:cs="Times New Roman"/>
          <w:sz w:val="32"/>
          <w:szCs w:val="32"/>
          <w:lang w:val="en-US" w:eastAsia="zh-CN"/>
        </w:rPr>
        <w:t>aqscb8160819</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163</w:t>
      </w:r>
      <w:r>
        <w:rPr>
          <w:rFonts w:hint="eastAsia" w:ascii="仿宋_GB2312" w:hAnsi="宋体" w:eastAsia="仿宋_GB2312" w:cs="Times New Roman"/>
          <w:sz w:val="32"/>
          <w:szCs w:val="32"/>
        </w:rPr>
        <w:t xml:space="preserve">.com </w:t>
      </w:r>
    </w:p>
    <w:p>
      <w:pPr>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lang w:eastAsia="zh-CN"/>
        </w:rPr>
        <w:t>纪检工作室</w:t>
      </w:r>
      <w:r>
        <w:rPr>
          <w:rFonts w:hint="eastAsia" w:ascii="仿宋_GB2312" w:hAnsi="宋体" w:eastAsia="仿宋_GB2312" w:cs="Times New Roman"/>
          <w:sz w:val="32"/>
          <w:szCs w:val="32"/>
        </w:rPr>
        <w:t>联系人：</w:t>
      </w:r>
      <w:r>
        <w:rPr>
          <w:rFonts w:hint="eastAsia" w:ascii="仿宋_GB2312" w:hAnsi="宋体" w:eastAsia="仿宋_GB2312" w:cs="Times New Roman"/>
          <w:sz w:val="32"/>
          <w:szCs w:val="32"/>
          <w:lang w:eastAsia="zh-CN"/>
        </w:rPr>
        <w:t>张经理</w:t>
      </w:r>
      <w:r>
        <w:rPr>
          <w:rFonts w:hint="eastAsia" w:ascii="仿宋_GB2312" w:hAnsi="宋体" w:eastAsia="仿宋_GB2312" w:cs="Times New Roman"/>
          <w:sz w:val="32"/>
          <w:szCs w:val="32"/>
        </w:rPr>
        <w:t xml:space="preserve">  </w:t>
      </w:r>
    </w:p>
    <w:p>
      <w:pPr>
        <w:ind w:firstLine="640" w:firstLineChars="200"/>
        <w:rPr>
          <w:rFonts w:hint="default" w:ascii="仿宋_GB2312" w:hAnsi="宋体" w:eastAsia="仿宋_GB2312" w:cs="Times New Roman"/>
          <w:sz w:val="32"/>
          <w:szCs w:val="32"/>
          <w:lang w:val="en-US" w:eastAsia="zh-CN"/>
        </w:rPr>
      </w:pPr>
      <w:r>
        <w:rPr>
          <w:rFonts w:hint="eastAsia" w:ascii="仿宋_GB2312" w:hAnsi="宋体" w:eastAsia="仿宋_GB2312" w:cs="Times New Roman"/>
          <w:sz w:val="32"/>
          <w:szCs w:val="32"/>
        </w:rPr>
        <w:t>联系电话：053</w:t>
      </w:r>
      <w:r>
        <w:rPr>
          <w:rFonts w:hint="eastAsia" w:ascii="仿宋_GB2312" w:hAnsi="宋体" w:eastAsia="仿宋_GB2312" w:cs="Times New Roman"/>
          <w:sz w:val="32"/>
          <w:szCs w:val="32"/>
          <w:lang w:val="en-US" w:eastAsia="zh-CN"/>
        </w:rPr>
        <w:t>8</w:t>
      </w:r>
      <w:r>
        <w:rPr>
          <w:rFonts w:hint="eastAsia" w:ascii="仿宋_GB2312" w:hAnsi="宋体" w:eastAsia="仿宋_GB2312" w:cs="Times New Roman"/>
          <w:sz w:val="32"/>
          <w:szCs w:val="32"/>
        </w:rPr>
        <w:t>-</w:t>
      </w:r>
      <w:r>
        <w:rPr>
          <w:rFonts w:hint="eastAsia" w:ascii="仿宋_GB2312" w:hAnsi="宋体" w:eastAsia="仿宋_GB2312" w:cs="Times New Roman"/>
          <w:sz w:val="32"/>
          <w:szCs w:val="32"/>
          <w:lang w:val="en-US" w:eastAsia="zh-CN"/>
        </w:rPr>
        <w:t>8160666</w:t>
      </w:r>
    </w:p>
    <w:p>
      <w:pPr>
        <w:jc w:val="center"/>
        <w:rPr>
          <w:rFonts w:hint="eastAsia" w:ascii="方正小标宋简体" w:hAnsi="黑体" w:eastAsia="方正小标宋简体" w:cs="Times New Roman"/>
          <w:kern w:val="44"/>
          <w:sz w:val="44"/>
          <w:szCs w:val="44"/>
        </w:rPr>
      </w:pPr>
    </w:p>
    <w:p>
      <w:pPr>
        <w:jc w:val="center"/>
        <w:rPr>
          <w:rFonts w:ascii="方正小标宋简体" w:hAnsi="黑体" w:eastAsia="方正小标宋简体" w:cs="Times New Roman"/>
          <w:kern w:val="44"/>
          <w:sz w:val="44"/>
          <w:szCs w:val="44"/>
        </w:rPr>
      </w:pPr>
      <w:r>
        <w:rPr>
          <w:rFonts w:hint="eastAsia" w:ascii="方正小标宋简体" w:hAnsi="黑体" w:eastAsia="方正小标宋简体" w:cs="Times New Roman"/>
          <w:kern w:val="44"/>
          <w:sz w:val="44"/>
          <w:szCs w:val="44"/>
        </w:rPr>
        <w:t>第二章 投标人须知</w:t>
      </w:r>
    </w:p>
    <w:p>
      <w:pPr>
        <w:spacing w:line="400" w:lineRule="exact"/>
        <w:jc w:val="center"/>
        <w:rPr>
          <w:rFonts w:ascii="方正小标宋简体" w:hAnsi="黑体" w:eastAsia="方正小标宋简体" w:cs="Times New Roman"/>
          <w:kern w:val="44"/>
          <w:sz w:val="44"/>
          <w:szCs w:val="44"/>
        </w:rPr>
      </w:pP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一、要求说明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（一）本招标文件仅适用于本次招标公告中所叙述的项目。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（二）采用中标供应商评价机制，如中标单位在合同期内如出现重大质量、安全责任事故、劳资纠纷、不服从甲方管理等情况，则该供应商将被列入不良行为记录名单，甲方有权追究中标人的经济责任。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（三）供应商必须未列入失信被执行人名单，如供应商列入失信被执行人名单，将按无效投标处理。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四）无论基于何种原因，各项本应作拒绝处理的情形即便未被及时发现而使该供应商进入初审、综合评标或其它后续程序，包括已经签订合同的情形，一旦在任何时间被发现存在上述情形，则采购人或采购代理机构均有权随时视情形决定是否取消该供应商的此前评议结果，或随时视情形决定是否对该投标予以拒绝，并有权决定采取相应的补救或纠正措施，供应商必须无条件服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（五）供应商在办理与投标项目相关的所有事宜过程中，必须提供授权委托书、授权代表身份证及加盖公章的复印件，否则，有权不予受理。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（六）供应商提供的所有资料必须真实、有效。评标工作结束后，</w:t>
      </w:r>
      <w:r>
        <w:rPr>
          <w:rFonts w:hint="eastAsia" w:ascii="仿宋_GB2312" w:hAnsi="黑体" w:eastAsia="仿宋_GB2312" w:cs="Times New Roman"/>
          <w:kern w:val="44"/>
          <w:sz w:val="32"/>
          <w:szCs w:val="44"/>
          <w:lang w:eastAsia="zh-CN"/>
        </w:rPr>
        <w:t>采购人</w:t>
      </w:r>
      <w:r>
        <w:rPr>
          <w:rFonts w:hint="eastAsia" w:ascii="仿宋_GB2312" w:hAnsi="黑体" w:eastAsia="仿宋_GB2312" w:cs="Times New Roman"/>
          <w:kern w:val="44"/>
          <w:sz w:val="32"/>
          <w:szCs w:val="44"/>
        </w:rPr>
        <w:t>有权视情况对投标单位提供资料的真实情况进行再次核查，投标单位必须无条件积极配合，如不配合，则视为存在造假行为。如投标单位存在造假行为，甲方有权追究该投标单位的经济责任，甲方有权将该投标单位列入不良行为记录名单，并按《中华人民共和国政府采购法》、《中华人民共和国招标投标法》等相关法律规定处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七）对于投标单位不配合评标委员会要求提供相关证明、澄清，或者有企图影响招标结果等行为，或者存在采购人认定的其他恶意行为，甲方有权追究该投标单位的经济责任，甲方有权将该投标单位列入不良行为记录名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（八）其</w:t>
      </w:r>
      <w:r>
        <w:rPr>
          <w:rFonts w:hint="eastAsia" w:ascii="仿宋_GB2312" w:hAnsi="黑体" w:eastAsia="仿宋_GB2312" w:cs="Times New Roman"/>
          <w:kern w:val="44"/>
          <w:sz w:val="32"/>
          <w:szCs w:val="44"/>
          <w:lang w:eastAsia="zh-CN"/>
        </w:rPr>
        <w:t>它</w:t>
      </w:r>
      <w:r>
        <w:rPr>
          <w:rFonts w:hint="eastAsia" w:ascii="仿宋_GB2312" w:hAnsi="黑体" w:eastAsia="仿宋_GB2312" w:cs="Times New Roman"/>
          <w:kern w:val="44"/>
          <w:sz w:val="32"/>
          <w:szCs w:val="44"/>
        </w:rPr>
        <w:t>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1、供应商应对其提供的所有货物和服务（包括货物和服务的所有内容），保证甲方免受任何第三方主张任何权利。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2、如第三人对合同标的物（货物和服务）主张权利的侵权损害赔偿请求，甲方有权解除合同且不承担任何赔偿责任，并追究供应商的违约责任。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3、在合同履行过程中，甲方有确切证据证明第三方可能就合同标的物（货物和服务）主张权利的，甲方有权中止支付相应的价款，并追究供应商的违约责任。</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4、因为第三方对甲方主张权利而发生的纠纷，供应商应承担相应的法律责任和诉讼费用、律师费用、其他为解除纠纷而发生的费用以及由此给甲方造成的所有经济损失。</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5、以上所指权利包括但不仅限于供应商所提供货物和服务的所有权、知识产权、债权、担保物权、用益物权等权利。</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6、质疑处理</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参加本项目采购活动的供应商对本次采购活动的询问、质疑和投诉，依照有关采购法律制度规定执行。供应商认为招标文件、评审过程、中标或者成交结果使自己的权益受到损害的，可以在知道或者应知其权益受到损害之日起7个工作日内，以书面形式向采购人提出质疑。供应商应在法定质疑期内一次性提出针对同一采购程序环节的质疑，否则不予受理。提出质疑的供应商应当是参与所质疑项目采购活动的供应商。潜在供应商已依法获取其可质疑的招标文件的，可以对该文件提出质疑，其未参加后续采购活动，不得对递交投标文件截止后的采购过程、采购结果提出质疑。对招标文件提出质疑的，应当在获取招标文件或者招标文件公告期限届满之日起7个工作日内提出。供应商提出质疑应当提交质疑函和必要的证明材料，应采取法定代表人、主要负责人，或者其授权代表直接送达纸质版方式提交质疑函。质疑函应当包括下列内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（1）供应商的姓名或者名称、地址、邮编、联系人及联系电话；</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（2）质疑项目的名称、编号；</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（3）具体、明确的质疑事项和与质疑事项相关的请求；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（4）事实依据；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（5）必要的法律依据；</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（6）提出质疑的日期。</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为自然人的，应当由本人签字；供应商为法人或者其他组织的，应当由法定代表人、主要负责人，或者其授权代表签字或者盖章，并加盖公章。采购人、采购代理机构在收到质疑函后7个工作日内作出答复，并以书面形式通知质疑供应商和其他有关供应商。接受质疑函联系人、电话及地址详见招标公告。</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二、虚假材料说明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供应商必须对其投标文件中提供各种资料、说明的真实性负责。在评标过程中，如果发现供应商有为谋取中标而提供虚假资料欺骗采购人和评委的行为，将取消其中标资格，</w:t>
      </w:r>
      <w:r>
        <w:rPr>
          <w:rFonts w:hint="eastAsia" w:ascii="仿宋_GB2312" w:hAnsi="黑体" w:eastAsia="仿宋_GB2312" w:cs="Times New Roman"/>
          <w:kern w:val="44"/>
          <w:sz w:val="32"/>
          <w:szCs w:val="44"/>
          <w:lang w:eastAsia="zh-CN"/>
        </w:rPr>
        <w:t>如有则</w:t>
      </w:r>
      <w:r>
        <w:rPr>
          <w:rFonts w:hint="eastAsia" w:ascii="仿宋_GB2312" w:hAnsi="黑体" w:eastAsia="仿宋_GB2312" w:cs="Times New Roman"/>
          <w:kern w:val="44"/>
          <w:sz w:val="32"/>
          <w:szCs w:val="44"/>
        </w:rPr>
        <w:t>其投标保证金将不予退还。定标后，采购人有可能对中标人投标文件中的承诺内容和证明材料进行核查，中标人应无条件配合采购人的核查工作，不得托词拒绝核查或隐瞒真实情况。若在中标后签订合同时，发现中标人是提供虚假材料谋取中标等违法违规行为，采购人将取消其中标人资格，其投标保证金将不予退还，给采购人造成损失的，还必须进行赔偿并负相关责任。</w:t>
      </w:r>
    </w:p>
    <w:p>
      <w:pPr>
        <w:ind w:firstLine="640" w:firstLineChars="200"/>
        <w:jc w:val="left"/>
        <w:rPr>
          <w:rFonts w:ascii="黑体" w:hAnsi="黑体" w:eastAsia="黑体" w:cs="Times New Roman"/>
          <w:kern w:val="44"/>
          <w:sz w:val="32"/>
          <w:szCs w:val="44"/>
        </w:rPr>
      </w:pPr>
      <w:r>
        <w:rPr>
          <w:rFonts w:hint="eastAsia" w:ascii="黑体" w:hAnsi="黑体" w:eastAsia="黑体" w:cs="Times New Roman"/>
          <w:kern w:val="44"/>
          <w:sz w:val="32"/>
          <w:szCs w:val="44"/>
        </w:rPr>
        <w:t>三、定义</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（一）“采购人”系指：山东</w:t>
      </w:r>
      <w:r>
        <w:rPr>
          <w:rFonts w:hint="eastAsia" w:ascii="仿宋_GB2312" w:hAnsi="黑体" w:eastAsia="仿宋_GB2312" w:cs="Times New Roman"/>
          <w:kern w:val="44"/>
          <w:sz w:val="32"/>
          <w:szCs w:val="44"/>
          <w:lang w:eastAsia="zh-CN"/>
        </w:rPr>
        <w:t>岱岳制盐</w:t>
      </w:r>
      <w:r>
        <w:rPr>
          <w:rFonts w:hint="eastAsia" w:ascii="仿宋_GB2312" w:hAnsi="黑体" w:eastAsia="仿宋_GB2312" w:cs="Times New Roman"/>
          <w:kern w:val="44"/>
          <w:sz w:val="32"/>
          <w:szCs w:val="44"/>
        </w:rPr>
        <w:t>有限公司。</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（二）“供应商”系指：向采购人获取招标文件并提交投标文件的企业。</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（三）“中标人”系指：由评标委员会对供应商综合评审后，评选出的对招标文件做出实质性响应、综合竞争实力最优、报价合理、有能力为采购人提供货物和服务，遵守投标文件的承诺，赢得供货</w:t>
      </w:r>
      <w:r>
        <w:rPr>
          <w:rFonts w:hint="eastAsia" w:ascii="仿宋_GB2312" w:hAnsi="黑体" w:eastAsia="仿宋_GB2312" w:cs="Times New Roman"/>
          <w:kern w:val="44"/>
          <w:sz w:val="32"/>
          <w:szCs w:val="44"/>
          <w:lang w:eastAsia="zh-CN"/>
        </w:rPr>
        <w:t>（服务）</w:t>
      </w:r>
      <w:r>
        <w:rPr>
          <w:rFonts w:hint="eastAsia" w:ascii="仿宋_GB2312" w:hAnsi="黑体" w:eastAsia="仿宋_GB2312" w:cs="Times New Roman"/>
          <w:kern w:val="44"/>
          <w:sz w:val="32"/>
          <w:szCs w:val="44"/>
        </w:rPr>
        <w:t>合同的供应商。</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四、招标文件说明</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（一）招标文件的组成</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1、招标公告</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2、投标人须知</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3、评标办法</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（二）招标文件的修改</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采购人对招标文件必须修改的内容，须在招标文件要求提交投标文件截止时间2日前，招标文件的澄清或变更将</w:t>
      </w:r>
      <w:r>
        <w:rPr>
          <w:rFonts w:hint="eastAsia" w:ascii="仿宋_GB2312" w:hAnsi="黑体" w:eastAsia="仿宋_GB2312" w:cs="Times New Roman"/>
          <w:kern w:val="44"/>
          <w:sz w:val="32"/>
          <w:szCs w:val="44"/>
          <w:lang w:eastAsia="zh-CN"/>
        </w:rPr>
        <w:t>隆道云</w:t>
      </w:r>
      <w:r>
        <w:rPr>
          <w:rFonts w:hint="eastAsia" w:ascii="仿宋_GB2312" w:hAnsi="黑体" w:eastAsia="仿宋_GB2312" w:cs="Times New Roman"/>
          <w:kern w:val="44"/>
          <w:sz w:val="32"/>
          <w:szCs w:val="44"/>
        </w:rPr>
        <w:t>招标采购平台发布，但不指明澄清问题的来源，澄清或变更文件将作为招标文件的组成部分，对所有供应商均具有约束力。供应商应及时关注以上网站信息，如若因查看不及时或自身原因所造成的投标文件编制不响应招标文件要求，后果自负。</w:t>
      </w:r>
    </w:p>
    <w:p>
      <w:pPr>
        <w:ind w:firstLine="640" w:firstLineChars="200"/>
        <w:rPr>
          <w:rFonts w:ascii="黑体" w:hAnsi="黑体" w:eastAsia="黑体" w:cs="Times New Roman"/>
          <w:kern w:val="44"/>
          <w:sz w:val="32"/>
          <w:szCs w:val="44"/>
          <w:u w:val="none"/>
        </w:rPr>
      </w:pPr>
      <w:r>
        <w:rPr>
          <w:rFonts w:hint="eastAsia" w:ascii="黑体" w:hAnsi="黑体" w:eastAsia="黑体" w:cs="Times New Roman"/>
          <w:kern w:val="44"/>
          <w:sz w:val="32"/>
          <w:szCs w:val="44"/>
          <w:u w:val="none"/>
        </w:rPr>
        <w:t>五、投标文件的编写</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供应商应仔细阅读招标文件的所有内容，按招标文件的要求提供投标文件，并保证所提供的全部资料的真实性、准确性及完整性，以使其投标对招标文件做出实质性响应。否则，其投标有可能被拒绝。</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en-US" w:eastAsia="zh-CN"/>
        </w:rPr>
        <w:t>（一）</w:t>
      </w:r>
      <w:r>
        <w:rPr>
          <w:rFonts w:hint="eastAsia" w:ascii="仿宋_GB2312" w:hAnsi="黑体" w:eastAsia="仿宋_GB2312" w:cs="Times New Roman"/>
          <w:kern w:val="44"/>
          <w:sz w:val="32"/>
          <w:szCs w:val="44"/>
          <w:u w:val="none"/>
          <w:lang w:val="zh-CN" w:eastAsia="zh-CN"/>
        </w:rPr>
        <w:t>报价文件的组成</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1.1 报价文件包含资格证明文件、技术部分和商务部分。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 报价文件至少应包括下列内容：</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1.2.1资格证明文件</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（1）供应商简况表；</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（2）营业执照副本复印件（加盖公章）；</w:t>
      </w:r>
    </w:p>
    <w:p>
      <w:pPr>
        <w:ind w:firstLine="640" w:firstLineChars="200"/>
        <w:rPr>
          <w:rFonts w:hint="eastAsia"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近2年以来的类似工程业绩合同（时间以合同签订时间为准）；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法人代表人授权委托书；</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1.2.2商务部分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（1）报价单（必须加盖公章，否则报价无效）；</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w:t>
      </w:r>
      <w:r>
        <w:rPr>
          <w:rFonts w:hint="eastAsia" w:ascii="仿宋_GB2312" w:hAnsi="黑体" w:eastAsia="仿宋_GB2312" w:cs="Times New Roman"/>
          <w:kern w:val="44"/>
          <w:sz w:val="32"/>
          <w:szCs w:val="44"/>
          <w:u w:val="none"/>
          <w:lang w:val="en-US" w:eastAsia="zh-CN"/>
        </w:rPr>
        <w:t>能证明供应商专业性的资质文件，如ISO9001质量管理体系认证证书、安全生产许可证、建筑施工总承包资质、机电安装工程专业承包资质等</w:t>
      </w:r>
      <w:r>
        <w:rPr>
          <w:rFonts w:hint="eastAsia" w:ascii="仿宋_GB2312" w:hAnsi="黑体" w:eastAsia="仿宋_GB2312" w:cs="Times New Roman"/>
          <w:kern w:val="44"/>
          <w:sz w:val="32"/>
          <w:szCs w:val="44"/>
          <w:u w:val="none"/>
          <w:lang w:val="zh-CN" w:eastAsia="zh-CN"/>
        </w:rPr>
        <w:t>；</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3）</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1.2.3技术部分</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（1）供应商需自行组织详细的施工方案，详述除锈、刷漆的方式方法，所用油漆</w:t>
      </w:r>
      <w:r>
        <w:rPr>
          <w:rFonts w:hint="eastAsia" w:ascii="仿宋_GB2312" w:hAnsi="宋体" w:eastAsia="仿宋_GB2312" w:cs="Times New Roman"/>
          <w:sz w:val="32"/>
          <w:szCs w:val="32"/>
          <w:lang w:val="en-US" w:eastAsia="zh-CN"/>
        </w:rPr>
        <w:t>具体品牌、规格型号、性能</w:t>
      </w:r>
      <w:r>
        <w:rPr>
          <w:rFonts w:hint="eastAsia" w:ascii="仿宋_GB2312" w:hAnsi="黑体" w:eastAsia="仿宋_GB2312" w:cs="Times New Roman"/>
          <w:kern w:val="44"/>
          <w:sz w:val="32"/>
          <w:szCs w:val="44"/>
          <w:u w:val="none"/>
          <w:lang w:val="zh-CN" w:eastAsia="zh-CN"/>
        </w:rPr>
        <w:t xml:space="preserve">，高处施工所用的辅助设备设施及方式方法等内容，评标委员会将根据各自提供的施工方案进行评比打分并评选出最佳方案； </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（2）施工方案：包括但不限于劳动力、机械设备和材料投入计划等；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（3）安全施工方案：包括但不限于任何可能的紧急情况的处理措施、预案以及抵抗风险（包括工程施工过程中可能遇到的各种风险）的措施、现场环境保护措施等；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4</w:t>
      </w:r>
      <w:r>
        <w:rPr>
          <w:rFonts w:hint="eastAsia" w:ascii="仿宋_GB2312" w:hAnsi="黑体" w:eastAsia="仿宋_GB2312" w:cs="Times New Roman"/>
          <w:kern w:val="44"/>
          <w:sz w:val="32"/>
          <w:szCs w:val="44"/>
          <w:u w:val="none"/>
          <w:lang w:val="zh-CN" w:eastAsia="zh-CN"/>
        </w:rPr>
        <w:t>）施工总进度计划及保证措施：包括以横道图、保障进度计划需要的主要施工机械设备、劳动力需求计划及保证措施、材料设备进场计划及其他保证措施等；</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w:t>
      </w:r>
      <w:r>
        <w:rPr>
          <w:rFonts w:hint="eastAsia" w:ascii="仿宋_GB2312" w:hAnsi="黑体" w:eastAsia="仿宋_GB2312" w:cs="Times New Roman"/>
          <w:kern w:val="44"/>
          <w:sz w:val="32"/>
          <w:szCs w:val="44"/>
          <w:u w:val="none"/>
          <w:lang w:val="en-US" w:eastAsia="zh-CN"/>
        </w:rPr>
        <w:t>5</w:t>
      </w:r>
      <w:r>
        <w:rPr>
          <w:rFonts w:hint="eastAsia" w:ascii="仿宋_GB2312" w:hAnsi="黑体" w:eastAsia="仿宋_GB2312" w:cs="Times New Roman"/>
          <w:kern w:val="44"/>
          <w:sz w:val="32"/>
          <w:szCs w:val="44"/>
          <w:u w:val="none"/>
          <w:lang w:val="zh-CN" w:eastAsia="zh-CN"/>
        </w:rPr>
        <w:t>）供应商认为有必要提供的其他资料。</w:t>
      </w:r>
    </w:p>
    <w:p>
      <w:pPr>
        <w:ind w:firstLine="640" w:firstLineChars="200"/>
        <w:rPr>
          <w:rFonts w:hint="eastAsia" w:ascii="仿宋_GB2312" w:hAnsi="黑体" w:eastAsia="仿宋_GB2312" w:cs="Times New Roman"/>
          <w:kern w:val="44"/>
          <w:sz w:val="32"/>
          <w:szCs w:val="44"/>
          <w:u w:val="none"/>
          <w:lang w:val="zh-CN" w:eastAsia="zh-CN"/>
        </w:rPr>
      </w:pPr>
      <w:r>
        <w:rPr>
          <w:rFonts w:hint="eastAsia" w:ascii="仿宋_GB2312" w:hAnsi="黑体" w:eastAsia="仿宋_GB2312" w:cs="Times New Roman"/>
          <w:kern w:val="44"/>
          <w:sz w:val="32"/>
          <w:szCs w:val="44"/>
          <w:u w:val="none"/>
          <w:lang w:val="zh-CN" w:eastAsia="zh-CN"/>
        </w:rPr>
        <w:t>备注：格式自拟，请供应商按照相关要求自行编制；</w:t>
      </w:r>
    </w:p>
    <w:p>
      <w:pPr>
        <w:ind w:firstLine="640" w:firstLineChars="200"/>
        <w:rPr>
          <w:rFonts w:hint="default" w:ascii="仿宋_GB2312" w:hAnsi="黑体" w:eastAsia="仿宋_GB2312" w:cs="Times New Roman"/>
          <w:kern w:val="44"/>
          <w:sz w:val="32"/>
          <w:szCs w:val="44"/>
          <w:u w:val="none"/>
          <w:lang w:val="en-US" w:eastAsia="zh-CN"/>
        </w:rPr>
      </w:pPr>
      <w:r>
        <w:rPr>
          <w:rFonts w:hint="eastAsia" w:ascii="仿宋_GB2312" w:hAnsi="黑体" w:eastAsia="仿宋_GB2312" w:cs="Times New Roman"/>
          <w:kern w:val="44"/>
          <w:sz w:val="32"/>
          <w:szCs w:val="44"/>
          <w:u w:val="none"/>
          <w:lang w:val="zh-CN" w:eastAsia="zh-CN"/>
        </w:rPr>
        <w:t>1.3 报价文件的内容必须属实，任何夸张和不实的行为都会被认为是对</w:t>
      </w:r>
      <w:r>
        <w:rPr>
          <w:rFonts w:hint="eastAsia" w:ascii="仿宋_GB2312" w:hAnsi="黑体" w:eastAsia="仿宋_GB2312" w:cs="Times New Roman"/>
          <w:kern w:val="44"/>
          <w:sz w:val="32"/>
          <w:szCs w:val="44"/>
          <w:u w:val="none"/>
          <w:lang w:val="en-US" w:eastAsia="zh-CN"/>
        </w:rPr>
        <w:t>报价</w:t>
      </w:r>
      <w:r>
        <w:rPr>
          <w:rFonts w:hint="eastAsia" w:ascii="仿宋_GB2312" w:hAnsi="黑体" w:eastAsia="仿宋_GB2312" w:cs="Times New Roman"/>
          <w:kern w:val="44"/>
          <w:sz w:val="32"/>
          <w:szCs w:val="44"/>
          <w:u w:val="none"/>
          <w:lang w:val="zh-CN" w:eastAsia="zh-CN"/>
        </w:rPr>
        <w:t>文件的不响应。</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二</w:t>
      </w:r>
      <w:r>
        <w:rPr>
          <w:rFonts w:hint="eastAsia" w:ascii="仿宋_GB2312" w:hAnsi="黑体" w:eastAsia="仿宋_GB2312" w:cs="Times New Roman"/>
          <w:kern w:val="44"/>
          <w:sz w:val="32"/>
          <w:szCs w:val="44"/>
        </w:rPr>
        <w:t>）投标文件的版式</w:t>
      </w:r>
    </w:p>
    <w:p>
      <w:pPr>
        <w:ind w:firstLine="640" w:firstLineChars="200"/>
        <w:rPr>
          <w:rFonts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供应商必须将投标文件按顺序合并于一个PDF文件或word文件中，编制目录索引，并插入页码，封皮需法人签字并盖章。</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三</w:t>
      </w:r>
      <w:r>
        <w:rPr>
          <w:rFonts w:hint="eastAsia" w:ascii="仿宋_GB2312" w:hAnsi="黑体" w:eastAsia="仿宋_GB2312" w:cs="Times New Roman"/>
          <w:kern w:val="44"/>
          <w:sz w:val="32"/>
          <w:szCs w:val="44"/>
        </w:rPr>
        <w:t>）投标文件的递交</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rPr>
        <w:t>1、递交投标文件的方式和时间</w:t>
      </w:r>
    </w:p>
    <w:p>
      <w:pPr>
        <w:ind w:firstLine="640" w:firstLineChars="200"/>
        <w:rPr>
          <w:rFonts w:hint="eastAsia" w:ascii="仿宋_GB2312" w:hAnsi="黑体" w:eastAsia="仿宋_GB2312" w:cs="Times New Roman"/>
          <w:kern w:val="44"/>
          <w:sz w:val="32"/>
          <w:szCs w:val="44"/>
          <w:u w:val="none"/>
        </w:rPr>
      </w:pPr>
      <w:r>
        <w:rPr>
          <w:rFonts w:hint="eastAsia" w:ascii="仿宋_GB2312" w:hAnsi="黑体" w:eastAsia="仿宋_GB2312" w:cs="Times New Roman"/>
          <w:kern w:val="44"/>
          <w:sz w:val="32"/>
          <w:szCs w:val="44"/>
          <w:u w:val="none"/>
          <w:lang w:val="en-US" w:eastAsia="zh-CN"/>
        </w:rPr>
        <w:t xml:space="preserve">1.1 </w:t>
      </w:r>
      <w:r>
        <w:rPr>
          <w:rFonts w:hint="eastAsia" w:ascii="仿宋_GB2312" w:hAnsi="黑体" w:eastAsia="仿宋_GB2312" w:cs="Times New Roman"/>
          <w:kern w:val="44"/>
          <w:sz w:val="32"/>
          <w:szCs w:val="44"/>
          <w:u w:val="none"/>
        </w:rPr>
        <w:t>方式：</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rPr>
        <w:t>线上</w:t>
      </w:r>
      <w:r>
        <w:rPr>
          <w:rFonts w:hint="eastAsia" w:ascii="仿宋_GB2312" w:hAnsi="黑体" w:eastAsia="仿宋_GB2312" w:cs="Times New Roman"/>
          <w:kern w:val="44"/>
          <w:sz w:val="32"/>
          <w:szCs w:val="44"/>
          <w:u w:val="none"/>
          <w:lang w:eastAsia="zh-CN"/>
        </w:rPr>
        <w:t>：登录山东岱岳制盐有限公司官网（</w:t>
      </w:r>
      <w:r>
        <w:rPr>
          <w:rFonts w:hint="eastAsia" w:ascii="仿宋_GB2312" w:hAnsi="黑体" w:eastAsia="仿宋_GB2312" w:cs="Times New Roman"/>
          <w:kern w:val="44"/>
          <w:sz w:val="32"/>
          <w:szCs w:val="44"/>
          <w:u w:val="none"/>
          <w:lang w:val="en-US" w:eastAsia="zh-CN"/>
        </w:rPr>
        <w:t>www.sddyzy.com</w:t>
      </w:r>
      <w:r>
        <w:rPr>
          <w:rFonts w:hint="eastAsia" w:ascii="仿宋_GB2312" w:hAnsi="黑体" w:eastAsia="仿宋_GB2312" w:cs="Times New Roman"/>
          <w:kern w:val="44"/>
          <w:sz w:val="32"/>
          <w:szCs w:val="44"/>
          <w:u w:val="none"/>
          <w:lang w:eastAsia="zh-CN"/>
        </w:rPr>
        <w:t>）查看招标公告</w:t>
      </w:r>
      <w:r>
        <w:rPr>
          <w:rFonts w:hint="eastAsia" w:ascii="仿宋_GB2312" w:hAnsi="黑体" w:eastAsia="仿宋_GB2312" w:cs="Times New Roman"/>
          <w:kern w:val="44"/>
          <w:sz w:val="32"/>
          <w:szCs w:val="44"/>
          <w:u w:val="none"/>
        </w:rPr>
        <w:t>；</w:t>
      </w:r>
    </w:p>
    <w:p>
      <w:pPr>
        <w:ind w:firstLine="640" w:firstLineChars="200"/>
        <w:rPr>
          <w:rFonts w:hint="eastAsia" w:ascii="仿宋_GB2312" w:hAnsi="黑体" w:eastAsia="仿宋_GB2312" w:cs="Times New Roman"/>
          <w:kern w:val="44"/>
          <w:sz w:val="32"/>
          <w:szCs w:val="44"/>
          <w:u w:val="none"/>
          <w:lang w:eastAsia="zh-CN"/>
        </w:rPr>
      </w:pPr>
      <w:r>
        <w:rPr>
          <w:rFonts w:hint="eastAsia" w:ascii="仿宋_GB2312" w:hAnsi="黑体" w:eastAsia="仿宋_GB2312" w:cs="Times New Roman"/>
          <w:kern w:val="44"/>
          <w:sz w:val="32"/>
          <w:szCs w:val="44"/>
          <w:u w:val="none"/>
          <w:lang w:eastAsia="zh-CN"/>
        </w:rPr>
        <w:t>线下：报专用邮箱：</w:t>
      </w:r>
      <w:r>
        <w:rPr>
          <w:rFonts w:hint="eastAsia" w:ascii="仿宋_GB2312" w:hAnsi="黑体" w:eastAsia="仿宋_GB2312" w:cs="Times New Roman"/>
          <w:kern w:val="44"/>
          <w:sz w:val="32"/>
          <w:szCs w:val="44"/>
          <w:u w:val="none"/>
          <w:lang w:eastAsia="zh-CN"/>
        </w:rPr>
        <w:fldChar w:fldCharType="begin"/>
      </w:r>
      <w:r>
        <w:rPr>
          <w:rFonts w:hint="eastAsia" w:ascii="仿宋_GB2312" w:hAnsi="黑体" w:eastAsia="仿宋_GB2312" w:cs="Times New Roman"/>
          <w:kern w:val="44"/>
          <w:sz w:val="32"/>
          <w:szCs w:val="44"/>
          <w:u w:val="none"/>
          <w:lang w:eastAsia="zh-CN"/>
        </w:rPr>
        <w:instrText xml:space="preserve"> HYPERLINK "mailto:dyzy009@163.com" </w:instrText>
      </w:r>
      <w:r>
        <w:rPr>
          <w:rFonts w:hint="eastAsia" w:ascii="仿宋_GB2312" w:hAnsi="黑体" w:eastAsia="仿宋_GB2312" w:cs="Times New Roman"/>
          <w:kern w:val="44"/>
          <w:sz w:val="32"/>
          <w:szCs w:val="44"/>
          <w:u w:val="none"/>
          <w:lang w:eastAsia="zh-CN"/>
        </w:rPr>
        <w:fldChar w:fldCharType="separate"/>
      </w:r>
      <w:r>
        <w:rPr>
          <w:rFonts w:hint="eastAsia" w:ascii="仿宋_GB2312" w:hAnsi="黑体" w:eastAsia="仿宋_GB2312" w:cs="Times New Roman"/>
          <w:kern w:val="44"/>
          <w:sz w:val="32"/>
          <w:szCs w:val="44"/>
          <w:u w:val="none"/>
          <w:lang w:eastAsia="zh-CN"/>
        </w:rPr>
        <w:t>dyzy009@163.com</w:t>
      </w:r>
      <w:r>
        <w:rPr>
          <w:rFonts w:hint="eastAsia" w:ascii="仿宋_GB2312" w:hAnsi="黑体" w:eastAsia="仿宋_GB2312" w:cs="Times New Roman"/>
          <w:kern w:val="44"/>
          <w:sz w:val="32"/>
          <w:szCs w:val="44"/>
          <w:u w:val="none"/>
          <w:lang w:eastAsia="zh-CN"/>
        </w:rPr>
        <w:fldChar w:fldCharType="end"/>
      </w:r>
      <w:r>
        <w:rPr>
          <w:rFonts w:hint="eastAsia" w:ascii="仿宋_GB2312" w:hAnsi="黑体" w:eastAsia="仿宋_GB2312" w:cs="Times New Roman"/>
          <w:kern w:val="44"/>
          <w:sz w:val="32"/>
          <w:szCs w:val="44"/>
          <w:u w:val="none"/>
          <w:lang w:eastAsia="zh-CN"/>
        </w:rPr>
        <w:t>或</w:t>
      </w:r>
      <w:r>
        <w:rPr>
          <w:rFonts w:hint="eastAsia" w:ascii="仿宋_GB2312" w:hAnsi="宋体" w:eastAsia="仿宋_GB2312" w:cs="Times New Roman"/>
          <w:sz w:val="32"/>
          <w:szCs w:val="32"/>
          <w:lang w:val="en-US" w:eastAsia="zh-CN"/>
        </w:rPr>
        <w:t>邮寄至少2份纸质版投标资料</w:t>
      </w:r>
      <w:r>
        <w:rPr>
          <w:rFonts w:hint="eastAsia" w:ascii="仿宋_GB2312" w:hAnsi="黑体" w:eastAsia="仿宋_GB2312" w:cs="Times New Roman"/>
          <w:kern w:val="44"/>
          <w:sz w:val="32"/>
          <w:szCs w:val="44"/>
          <w:u w:val="none"/>
          <w:lang w:val="en-US" w:eastAsia="zh-CN"/>
        </w:rPr>
        <w:t>（加盖公章并密封）</w:t>
      </w:r>
      <w:r>
        <w:rPr>
          <w:rFonts w:hint="eastAsia" w:ascii="仿宋_GB2312" w:hAnsi="宋体" w:eastAsia="仿宋_GB2312" w:cs="Times New Roman"/>
          <w:sz w:val="32"/>
          <w:szCs w:val="32"/>
          <w:lang w:val="en-US" w:eastAsia="zh-CN"/>
        </w:rPr>
        <w:t>至采购人：</w:t>
      </w:r>
      <w:r>
        <w:rPr>
          <w:rFonts w:hint="eastAsia" w:ascii="仿宋_GB2312" w:hAnsi="黑体" w:eastAsia="仿宋_GB2312" w:cs="Times New Roman"/>
          <w:kern w:val="44"/>
          <w:sz w:val="32"/>
          <w:szCs w:val="44"/>
          <w:u w:val="none"/>
          <w:lang w:eastAsia="zh-CN"/>
        </w:rPr>
        <w:t>；</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kern w:val="44"/>
          <w:sz w:val="32"/>
          <w:szCs w:val="44"/>
          <w:u w:val="none"/>
          <w:lang w:val="en-US" w:eastAsia="zh-CN"/>
        </w:rPr>
        <w:t xml:space="preserve">1.2 </w:t>
      </w:r>
      <w:r>
        <w:rPr>
          <w:rFonts w:hint="eastAsia" w:ascii="仿宋_GB2312" w:hAnsi="黑体" w:eastAsia="仿宋_GB2312" w:cs="Times New Roman"/>
          <w:kern w:val="44"/>
          <w:sz w:val="32"/>
          <w:szCs w:val="44"/>
          <w:u w:val="none"/>
        </w:rPr>
        <w:t>投标截止时间：</w:t>
      </w:r>
      <w:r>
        <w:rPr>
          <w:rFonts w:hint="eastAsia" w:ascii="仿宋_GB2312" w:hAnsi="黑体" w:eastAsia="仿宋_GB2312" w:cs="Times New Roman"/>
          <w:kern w:val="44"/>
          <w:sz w:val="32"/>
          <w:szCs w:val="44"/>
          <w:u w:val="none"/>
          <w:lang w:val="en-US" w:eastAsia="zh-CN"/>
        </w:rPr>
        <w:t>截止时间</w:t>
      </w:r>
      <w:r>
        <w:rPr>
          <w:rFonts w:hint="eastAsia" w:ascii="仿宋_GB2312" w:hAnsi="黑体" w:eastAsia="仿宋_GB2312" w:cs="Times New Roman"/>
          <w:color w:val="FF0000"/>
          <w:kern w:val="44"/>
          <w:sz w:val="32"/>
          <w:szCs w:val="44"/>
          <w:u w:val="none"/>
        </w:rPr>
        <w:t>2</w:t>
      </w:r>
      <w:r>
        <w:rPr>
          <w:rFonts w:hint="eastAsia" w:ascii="仿宋_GB2312" w:hAnsi="黑体" w:eastAsia="仿宋_GB2312" w:cs="Times New Roman"/>
          <w:color w:val="FF0000"/>
          <w:kern w:val="44"/>
          <w:sz w:val="32"/>
          <w:szCs w:val="44"/>
          <w:u w:val="none"/>
          <w:lang w:val="en-US" w:eastAsia="zh-CN"/>
        </w:rPr>
        <w:t>023年8月17日上午8时00分。</w:t>
      </w:r>
    </w:p>
    <w:p>
      <w:pPr>
        <w:ind w:firstLine="640" w:firstLineChars="200"/>
        <w:rPr>
          <w:rFonts w:hint="eastAsia" w:ascii="仿宋_GB2312" w:hAnsi="黑体" w:eastAsia="仿宋_GB2312" w:cs="Times New Roman"/>
          <w:color w:val="auto"/>
          <w:kern w:val="44"/>
          <w:sz w:val="32"/>
          <w:szCs w:val="44"/>
          <w:u w:val="none"/>
        </w:rPr>
      </w:pPr>
      <w:r>
        <w:rPr>
          <w:rFonts w:hint="eastAsia" w:ascii="仿宋_GB2312" w:hAnsi="黑体" w:eastAsia="仿宋_GB2312" w:cs="Times New Roman"/>
          <w:color w:val="auto"/>
          <w:kern w:val="44"/>
          <w:sz w:val="32"/>
          <w:szCs w:val="44"/>
          <w:u w:val="none"/>
          <w:lang w:val="en-US" w:eastAsia="zh-CN"/>
        </w:rPr>
        <w:t xml:space="preserve">1.3 </w:t>
      </w:r>
      <w:r>
        <w:rPr>
          <w:rFonts w:hint="eastAsia" w:ascii="仿宋_GB2312" w:hAnsi="黑体" w:eastAsia="仿宋_GB2312" w:cs="Times New Roman"/>
          <w:color w:val="auto"/>
          <w:kern w:val="44"/>
          <w:sz w:val="32"/>
          <w:szCs w:val="44"/>
          <w:u w:val="none"/>
        </w:rPr>
        <w:t>电报、电话、</w:t>
      </w:r>
      <w:r>
        <w:rPr>
          <w:rFonts w:hint="eastAsia" w:ascii="仿宋_GB2312" w:hAnsi="黑体" w:eastAsia="仿宋_GB2312" w:cs="Times New Roman"/>
          <w:color w:val="auto"/>
          <w:kern w:val="44"/>
          <w:sz w:val="32"/>
          <w:szCs w:val="44"/>
          <w:u w:val="none"/>
          <w:lang w:eastAsia="zh-CN"/>
        </w:rPr>
        <w:t>口头报价</w:t>
      </w:r>
      <w:r>
        <w:rPr>
          <w:rFonts w:hint="eastAsia" w:ascii="仿宋_GB2312" w:hAnsi="黑体" w:eastAsia="仿宋_GB2312" w:cs="Times New Roman"/>
          <w:color w:val="auto"/>
          <w:kern w:val="44"/>
          <w:sz w:val="32"/>
          <w:szCs w:val="44"/>
          <w:u w:val="none"/>
        </w:rPr>
        <w:t>等形式的投标概不接受。</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w:t>
      </w:r>
      <w:r>
        <w:rPr>
          <w:rFonts w:hint="eastAsia" w:ascii="仿宋_GB2312" w:hAnsi="黑体" w:eastAsia="仿宋_GB2312" w:cs="Times New Roman"/>
          <w:kern w:val="44"/>
          <w:sz w:val="32"/>
          <w:szCs w:val="44"/>
          <w:lang w:eastAsia="zh-CN"/>
        </w:rPr>
        <w:t>四</w:t>
      </w:r>
      <w:r>
        <w:rPr>
          <w:rFonts w:hint="eastAsia" w:ascii="仿宋_GB2312" w:hAnsi="黑体" w:eastAsia="仿宋_GB2312" w:cs="Times New Roman"/>
          <w:kern w:val="44"/>
          <w:sz w:val="32"/>
          <w:szCs w:val="44"/>
        </w:rPr>
        <w:t>）迟交的投标文件</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u w:val="none"/>
        </w:rPr>
        <w:t>采购人将拒绝接收在投标截止时间后送达的投标文件。</w:t>
      </w:r>
    </w:p>
    <w:p>
      <w:pPr>
        <w:ind w:firstLine="640" w:firstLineChars="200"/>
        <w:rPr>
          <w:rFonts w:ascii="黑体" w:hAnsi="黑体" w:eastAsia="黑体" w:cs="Times New Roman"/>
          <w:kern w:val="44"/>
          <w:sz w:val="32"/>
          <w:szCs w:val="44"/>
        </w:rPr>
      </w:pPr>
      <w:r>
        <w:rPr>
          <w:rFonts w:hint="eastAsia" w:ascii="黑体" w:hAnsi="黑体" w:eastAsia="黑体" w:cs="Times New Roman"/>
          <w:kern w:val="44"/>
          <w:sz w:val="32"/>
          <w:szCs w:val="44"/>
        </w:rPr>
        <w:t>六、无效投标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（一）供应商有下列情况之一，其投标视为无效投标。</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1、不具备招标文件中规定的资格要求的；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2、投标文件含有采购人不能接受的附加条件的；</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3、投标有效期不满足招标文件要求；</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4、供应商所报服务不能满足招标文件要求的；</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5、供应商存在弄虚作假的行为；</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6、属于采购人与供应商、供应商之间相互串通投标情形；</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7、对采购人、采购代理机构、评标委员会及其他工作人员施加影响，有碍公平、公正；</w:t>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8、招标文件规定的其他投标无效情形；</w:t>
      </w:r>
      <w:r>
        <w:rPr>
          <w:rFonts w:hint="eastAsia" w:ascii="仿宋_GB2312" w:hAnsi="黑体" w:eastAsia="仿宋_GB2312" w:cs="Times New Roman"/>
          <w:kern w:val="44"/>
          <w:sz w:val="32"/>
          <w:szCs w:val="44"/>
        </w:rPr>
        <w:tab/>
      </w:r>
    </w:p>
    <w:p>
      <w:pPr>
        <w:ind w:firstLine="640" w:firstLineChars="200"/>
        <w:rPr>
          <w:rFonts w:ascii="仿宋_GB2312" w:hAnsi="黑体" w:eastAsia="仿宋_GB2312" w:cs="Times New Roman"/>
          <w:kern w:val="44"/>
          <w:sz w:val="32"/>
          <w:szCs w:val="44"/>
        </w:rPr>
      </w:pPr>
      <w:r>
        <w:rPr>
          <w:rFonts w:hint="eastAsia" w:ascii="仿宋_GB2312" w:hAnsi="黑体" w:eastAsia="仿宋_GB2312" w:cs="Times New Roman"/>
          <w:kern w:val="44"/>
          <w:sz w:val="32"/>
          <w:szCs w:val="44"/>
        </w:rPr>
        <w:t>9、法律、法规、规章规定属于投标无效的其他。</w:t>
      </w:r>
    </w:p>
    <w:p>
      <w:pPr>
        <w:jc w:val="center"/>
        <w:rPr>
          <w:rFonts w:ascii="方正小标宋简体" w:hAnsi="黑体" w:eastAsia="方正小标宋简体" w:cs="Times New Roman"/>
          <w:kern w:val="44"/>
          <w:sz w:val="44"/>
          <w:szCs w:val="44"/>
        </w:rPr>
      </w:pPr>
      <w:r>
        <w:rPr>
          <w:rFonts w:ascii="Times New Roman" w:hAnsi="Times New Roman" w:eastAsia="宋体" w:cs="Times New Roman"/>
          <w:szCs w:val="24"/>
        </w:rPr>
        <w:br w:type="page"/>
      </w:r>
      <w:r>
        <w:rPr>
          <w:rFonts w:hint="eastAsia" w:ascii="方正小标宋简体" w:hAnsi="黑体" w:eastAsia="方正小标宋简体" w:cs="Times New Roman"/>
          <w:kern w:val="44"/>
          <w:sz w:val="44"/>
          <w:szCs w:val="44"/>
        </w:rPr>
        <w:t>第三章 评标办法</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一、评标委员会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按照相关规定由五人及以上单数组成评标委员会，评标委员会负责对投标文件进行审查、质疑、评审，确定中标候选人。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二、资格审查及投标文件的响应性审查</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（一）本项目资格审查方式为资格后审。</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（二）评标委员会将组织审查投标文件是否完整；是否按规定报价；报价是否有错误；投标文件是否已按招标文件的要求签署。</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（三）评标委员会经审查供应商提供的投标文件，如果确定供应商无资格或无能力履行合同，其投标将被拒绝。</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（四）</w:t>
      </w:r>
      <w:r>
        <w:rPr>
          <w:rFonts w:hint="eastAsia" w:ascii="仿宋_GB2312" w:hAnsi="Times New Roman" w:eastAsia="仿宋_GB2312" w:cs="Times New Roman"/>
          <w:spacing w:val="-6"/>
          <w:sz w:val="32"/>
          <w:szCs w:val="32"/>
        </w:rPr>
        <w:t>评标委员会将确定每一供应商是否对招标文件的要求做出了实质性的响</w:t>
      </w:r>
      <w:r>
        <w:rPr>
          <w:rFonts w:hint="eastAsia" w:ascii="仿宋_GB2312" w:hAnsi="Times New Roman" w:eastAsia="仿宋_GB2312" w:cs="Times New Roman"/>
          <w:spacing w:val="-4"/>
          <w:sz w:val="32"/>
          <w:szCs w:val="32"/>
        </w:rPr>
        <w:t>应而没有重大偏离。实质性响应的投标是指投标符合招标文件的所有条款、条</w:t>
      </w:r>
      <w:r>
        <w:rPr>
          <w:rFonts w:hint="eastAsia" w:ascii="仿宋_GB2312" w:hAnsi="Times New Roman" w:eastAsia="仿宋_GB2312" w:cs="Times New Roman"/>
          <w:spacing w:val="-3"/>
          <w:sz w:val="32"/>
          <w:szCs w:val="32"/>
        </w:rPr>
        <w:t>件和规定且没有重大偏离或保留。评标委员会判断投标文件的响应性仅基于投标文件本身而不靠外部证据。</w:t>
      </w:r>
    </w:p>
    <w:p>
      <w:pPr>
        <w:ind w:firstLine="640" w:firstLineChars="200"/>
        <w:rPr>
          <w:rFonts w:ascii="黑体" w:hAnsi="黑体" w:eastAsia="黑体" w:cs="Times New Roman"/>
          <w:sz w:val="32"/>
          <w:szCs w:val="32"/>
        </w:rPr>
      </w:pPr>
      <w:r>
        <w:rPr>
          <w:rFonts w:hint="eastAsia" w:ascii="仿宋_GB2312" w:hAnsi="Times New Roman" w:eastAsia="仿宋_GB2312" w:cs="Times New Roman"/>
          <w:sz w:val="32"/>
          <w:szCs w:val="32"/>
        </w:rPr>
        <w:t>（五）评标委员会将拒绝被确定为非实质性响应的投标文件，供应商不能通过修正或撤销投标文件中的不符之处而使其投标成为实质性响应的投标。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三、评标原则</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“公平、公正、竞争、择优”为本次评标的基本原则，评标委员会将按照</w:t>
      </w:r>
      <w:r>
        <w:rPr>
          <w:rFonts w:hint="eastAsia" w:ascii="仿宋_GB2312" w:hAnsi="Times New Roman" w:eastAsia="仿宋_GB2312" w:cs="Times New Roman"/>
          <w:spacing w:val="-7"/>
          <w:sz w:val="32"/>
          <w:szCs w:val="32"/>
        </w:rPr>
        <w:t>这一原则的要求，公正、平等地对待各供应商。同时，在评标时恪守以下原则：</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6"/>
          <w:sz w:val="32"/>
          <w:szCs w:val="32"/>
        </w:rPr>
        <w:t>客观性原则：评标委员会将严格按照招标文件的要求，对供应商的投标</w:t>
      </w:r>
      <w:r>
        <w:rPr>
          <w:rFonts w:hint="eastAsia" w:ascii="仿宋_GB2312" w:hAnsi="Times New Roman" w:eastAsia="仿宋_GB2312" w:cs="Times New Roman"/>
          <w:spacing w:val="-4"/>
          <w:sz w:val="32"/>
          <w:szCs w:val="32"/>
        </w:rPr>
        <w:t>文件进行认真评审；评标委员会对投标文件的评审仅依据投标文件本身，而不</w:t>
      </w:r>
      <w:r>
        <w:rPr>
          <w:rFonts w:hint="eastAsia" w:ascii="仿宋_GB2312" w:hAnsi="Times New Roman" w:eastAsia="仿宋_GB2312" w:cs="Times New Roman"/>
          <w:spacing w:val="-3"/>
          <w:sz w:val="32"/>
          <w:szCs w:val="32"/>
        </w:rPr>
        <w:t>依靠投标文件以外的任何因素。</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（二）统一性原则：评标委员会将按照统一的评标原则和评标方法，用同一标准进行评标。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（三）独立性原则：评标工作在评标委员会内部独立进行，不受外界任何因素的干扰和影响。评委对出具的评标意见承担个人责任。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（四）保密性原则：评委及熟知情况的有关工作人员必须对供应商的商业秘密严格保密。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（五）综合性原则：评标委员会将综合分析、评审供应商的各项指标，而不以单项指标的优劣评定出中标人。</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四、定标原则和评标方法</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（一）按能够最大限度的满足招标文件，采用综合评估法，以综合得分最高分中标的原则定标。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（二）采用综合评分法来确定中标人，最低报价不作为中标的唯一依据。</w:t>
      </w: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三</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val="en-US" w:eastAsia="zh-CN"/>
        </w:rPr>
        <w:t>评标程序：</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1</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rPr>
        <w:t>初步评审</w:t>
      </w:r>
    </w:p>
    <w:p>
      <w:pPr>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依据招标文件的规定，从投标文件的有效性、完整性和响应程度进行审查，以确定是否对招标文件的要求做出了实质性的响应。</w:t>
      </w:r>
    </w:p>
    <w:p>
      <w:pPr>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综合评</w:t>
      </w:r>
      <w:r>
        <w:rPr>
          <w:rFonts w:hint="eastAsia" w:ascii="仿宋_GB2312" w:hAnsi="Times New Roman" w:eastAsia="仿宋_GB2312" w:cs="Times New Roman"/>
          <w:sz w:val="32"/>
          <w:szCs w:val="32"/>
          <w:lang w:eastAsia="zh-CN"/>
        </w:rPr>
        <w:t>标</w:t>
      </w:r>
    </w:p>
    <w:p>
      <w:pPr>
        <w:ind w:firstLine="640" w:firstLineChars="200"/>
        <w:rPr>
          <w:rFonts w:hint="eastAsia" w:ascii="仿宋_GB2312" w:hAnsi="Times New Roman" w:eastAsia="仿宋_GB2312" w:cs="Times New Roman"/>
          <w:sz w:val="32"/>
          <w:szCs w:val="32"/>
        </w:rPr>
      </w:pPr>
      <w:r>
        <w:rPr>
          <w:rFonts w:hint="eastAsia" w:ascii="仿宋_GB2312" w:hAnsi="黑体" w:eastAsia="仿宋_GB2312" w:cs="Times New Roman"/>
          <w:kern w:val="44"/>
          <w:sz w:val="32"/>
          <w:szCs w:val="44"/>
          <w:u w:val="none"/>
          <w:lang w:val="zh-CN" w:eastAsia="zh-CN"/>
        </w:rPr>
        <w:t>评标委员会将根据各自提供的施工方案及安全施工方案进行评比打分并评选出最佳方案，</w:t>
      </w:r>
      <w:r>
        <w:rPr>
          <w:rFonts w:hint="eastAsia" w:ascii="仿宋_GB2312" w:hAnsi="Times New Roman" w:eastAsia="仿宋_GB2312" w:cs="Times New Roman"/>
          <w:sz w:val="32"/>
          <w:szCs w:val="32"/>
          <w:lang w:eastAsia="zh-CN"/>
        </w:rPr>
        <w:t>然后</w:t>
      </w:r>
      <w:r>
        <w:rPr>
          <w:rFonts w:hint="eastAsia" w:ascii="仿宋_GB2312" w:hAnsi="Times New Roman" w:eastAsia="仿宋_GB2312" w:cs="Times New Roman"/>
          <w:sz w:val="32"/>
          <w:szCs w:val="32"/>
        </w:rPr>
        <w:t>根据综合评分情况，按照评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得分由高到低顺序确定中标人，评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得分相同的，按照报价由低到高的顺序确定中标人，评</w:t>
      </w:r>
      <w:r>
        <w:rPr>
          <w:rFonts w:hint="eastAsia" w:ascii="仿宋_GB2312" w:hAnsi="Times New Roman" w:eastAsia="仿宋_GB2312" w:cs="Times New Roman"/>
          <w:sz w:val="32"/>
          <w:szCs w:val="32"/>
          <w:lang w:eastAsia="zh-CN"/>
        </w:rPr>
        <w:t>标</w:t>
      </w:r>
      <w:r>
        <w:rPr>
          <w:rFonts w:hint="eastAsia" w:ascii="仿宋_GB2312" w:hAnsi="Times New Roman" w:eastAsia="仿宋_GB2312" w:cs="Times New Roman"/>
          <w:sz w:val="32"/>
          <w:szCs w:val="32"/>
        </w:rPr>
        <w:t>得分相同且最后报价相同的，按照技术指标优劣顺序确定中标人。</w:t>
      </w:r>
    </w:p>
    <w:p>
      <w:pPr>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3、评标因素及分值：</w:t>
      </w:r>
    </w:p>
    <w:tbl>
      <w:tblPr>
        <w:tblStyle w:val="8"/>
        <w:tblpPr w:leftFromText="180" w:rightFromText="180" w:vertAnchor="text" w:horzAnchor="page" w:tblpX="2124" w:tblpY="251"/>
        <w:tblOverlap w:val="never"/>
        <w:tblW w:w="0" w:type="auto"/>
        <w:tblInd w:w="0" w:type="dxa"/>
        <w:tblLayout w:type="fixed"/>
        <w:tblCellMar>
          <w:top w:w="0" w:type="dxa"/>
          <w:left w:w="10" w:type="dxa"/>
          <w:bottom w:w="0" w:type="dxa"/>
          <w:right w:w="10" w:type="dxa"/>
        </w:tblCellMar>
      </w:tblPr>
      <w:tblGrid>
        <w:gridCol w:w="1313"/>
        <w:gridCol w:w="1640"/>
        <w:gridCol w:w="1640"/>
        <w:gridCol w:w="1644"/>
        <w:gridCol w:w="1151"/>
      </w:tblGrid>
      <w:tr>
        <w:tblPrEx>
          <w:tblCellMar>
            <w:top w:w="0" w:type="dxa"/>
            <w:left w:w="10" w:type="dxa"/>
            <w:bottom w:w="0" w:type="dxa"/>
            <w:right w:w="10" w:type="dxa"/>
          </w:tblCellMar>
        </w:tblPrEx>
        <w:trPr>
          <w:trHeight w:val="459"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评分因素</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报价得分</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hint="eastAsia" w:ascii="仿宋_GB2312" w:hAnsi="仿宋" w:eastAsia="仿宋_GB2312"/>
                <w:b/>
                <w:color w:val="000000"/>
                <w:sz w:val="24"/>
                <w:szCs w:val="24"/>
                <w:lang w:val="zh-CN"/>
              </w:rPr>
              <w:t>商务得分</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技术</w:t>
            </w:r>
            <w:r>
              <w:rPr>
                <w:rFonts w:hint="eastAsia" w:ascii="仿宋_GB2312" w:hAnsi="仿宋" w:eastAsia="仿宋_GB2312"/>
                <w:b/>
                <w:color w:val="000000"/>
                <w:sz w:val="24"/>
                <w:szCs w:val="24"/>
                <w:lang w:val="zh-CN"/>
              </w:rPr>
              <w:t>得分</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4" w:right="-318" w:hanging="1228"/>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总分值</w:t>
            </w:r>
          </w:p>
        </w:tc>
      </w:tr>
      <w:tr>
        <w:tblPrEx>
          <w:tblCellMar>
            <w:top w:w="0" w:type="dxa"/>
            <w:left w:w="10" w:type="dxa"/>
            <w:bottom w:w="0" w:type="dxa"/>
            <w:right w:w="10" w:type="dxa"/>
          </w:tblCellMar>
        </w:tblPrEx>
        <w:trPr>
          <w:trHeight w:val="613" w:hRule="atLeast"/>
        </w:trPr>
        <w:tc>
          <w:tcPr>
            <w:tcW w:w="1313"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分值</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164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644"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jc w:val="center"/>
              <w:rPr>
                <w:rFonts w:hint="default" w:ascii="仿宋_GB2312" w:hAnsi="楷体" w:eastAsia="仿宋_GB2312"/>
                <w:sz w:val="24"/>
                <w:szCs w:val="24"/>
                <w:lang w:val="en-US" w:eastAsia="zh-CN"/>
              </w:rPr>
            </w:pPr>
            <w:r>
              <w:rPr>
                <w:rFonts w:hint="eastAsia" w:ascii="仿宋_GB2312" w:hAnsi="楷体" w:eastAsia="仿宋_GB2312"/>
                <w:sz w:val="24"/>
                <w:szCs w:val="24"/>
                <w:lang w:val="en-US" w:eastAsia="zh-CN"/>
              </w:rPr>
              <w:t>25</w:t>
            </w:r>
          </w:p>
        </w:tc>
        <w:tc>
          <w:tcPr>
            <w:tcW w:w="1151" w:type="dxa"/>
            <w:tcBorders>
              <w:top w:val="single" w:color="auto" w:sz="6" w:space="0"/>
              <w:left w:val="single" w:color="auto" w:sz="6" w:space="0"/>
              <w:bottom w:val="single" w:color="auto" w:sz="6" w:space="0"/>
              <w:right w:val="single" w:color="auto" w:sz="6" w:space="0"/>
            </w:tcBorders>
            <w:noWrap w:val="0"/>
            <w:vAlign w:val="center"/>
          </w:tcPr>
          <w:p>
            <w:pPr>
              <w:tabs>
                <w:tab w:val="left" w:pos="6480"/>
              </w:tabs>
              <w:wordWrap w:val="0"/>
              <w:autoSpaceDE w:val="0"/>
              <w:autoSpaceDN w:val="0"/>
              <w:snapToGrid w:val="0"/>
              <w:ind w:left="1050" w:right="-318" w:hanging="1224"/>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100</w:t>
            </w:r>
          </w:p>
        </w:tc>
      </w:tr>
    </w:tbl>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p>
    <w:p>
      <w:pPr>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3.1报价得分</w:t>
      </w:r>
    </w:p>
    <w:tbl>
      <w:tblPr>
        <w:tblStyle w:val="8"/>
        <w:tblW w:w="8008" w:type="dxa"/>
        <w:tblInd w:w="292" w:type="dxa"/>
        <w:tblLayout w:type="fixed"/>
        <w:tblCellMar>
          <w:top w:w="0" w:type="dxa"/>
          <w:left w:w="108" w:type="dxa"/>
          <w:bottom w:w="0" w:type="dxa"/>
          <w:right w:w="108" w:type="dxa"/>
        </w:tblCellMar>
      </w:tblPr>
      <w:tblGrid>
        <w:gridCol w:w="1281"/>
        <w:gridCol w:w="830"/>
        <w:gridCol w:w="5897"/>
      </w:tblGrid>
      <w:tr>
        <w:tblPrEx>
          <w:tblCellMar>
            <w:top w:w="0" w:type="dxa"/>
            <w:left w:w="108" w:type="dxa"/>
            <w:bottom w:w="0" w:type="dxa"/>
            <w:right w:w="108" w:type="dxa"/>
          </w:tblCellMar>
        </w:tblPrEx>
        <w:trPr>
          <w:trHeight w:val="653"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724" w:hRule="atLeast"/>
        </w:trPr>
        <w:tc>
          <w:tcPr>
            <w:tcW w:w="1281"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r>
              <w:rPr>
                <w:rFonts w:ascii="仿宋_GB2312" w:hAnsi="仿宋" w:eastAsia="仿宋_GB2312"/>
                <w:color w:val="000000"/>
                <w:sz w:val="24"/>
                <w:szCs w:val="24"/>
                <w:lang w:val="zh-CN"/>
              </w:rPr>
              <w:t>报价</w:t>
            </w:r>
          </w:p>
        </w:tc>
        <w:tc>
          <w:tcPr>
            <w:tcW w:w="83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50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（1）有效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数少于5家（含5家），所有有效报价的算术平均值的90%为评标基准价，（保留两位小数）。</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（2）有效</w:t>
            </w:r>
            <w:r>
              <w:rPr>
                <w:rFonts w:hint="eastAsia" w:ascii="仿宋_GB2312" w:hAnsi="仿宋" w:eastAsia="仿宋_GB2312"/>
                <w:sz w:val="24"/>
                <w:szCs w:val="24"/>
                <w:lang w:val="zh-CN"/>
              </w:rPr>
              <w:t>供应商</w:t>
            </w:r>
            <w:r>
              <w:rPr>
                <w:rFonts w:ascii="仿宋_GB2312" w:hAnsi="仿宋" w:eastAsia="仿宋_GB2312"/>
                <w:sz w:val="24"/>
                <w:szCs w:val="24"/>
                <w:lang w:val="zh-CN"/>
              </w:rPr>
              <w:t>数多于6家（含6家），去掉一个最高报价和一个最低报价后，其余有效报价算术平均值的90%（保留两位小数）作为评标基准价。</w:t>
            </w:r>
          </w:p>
          <w:p>
            <w:pPr>
              <w:wordWrap w:val="0"/>
              <w:autoSpaceDE w:val="0"/>
              <w:autoSpaceDN w:val="0"/>
              <w:snapToGrid w:val="0"/>
              <w:spacing w:line="360" w:lineRule="exact"/>
              <w:ind w:firstLine="480" w:firstLineChars="200"/>
              <w:rPr>
                <w:rFonts w:ascii="仿宋_GB2312" w:hAnsi="仿宋" w:eastAsia="仿宋_GB2312"/>
                <w:sz w:val="24"/>
                <w:szCs w:val="24"/>
                <w:lang w:val="zh-CN"/>
              </w:rPr>
            </w:pPr>
            <w:r>
              <w:rPr>
                <w:rFonts w:ascii="仿宋_GB2312" w:hAnsi="仿宋" w:eastAsia="仿宋_GB2312"/>
                <w:sz w:val="24"/>
                <w:szCs w:val="24"/>
                <w:lang w:val="zh-CN"/>
              </w:rPr>
              <w:t>（3）报价与评标基准价一致的，得最高分</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分：在评标基准价以上，每提高一个百分点，在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分基础上减1分；在评标基准价以下，每减少一个百分点，在</w:t>
            </w:r>
            <w:r>
              <w:rPr>
                <w:rFonts w:hint="eastAsia" w:ascii="仿宋_GB2312" w:hAnsi="仿宋" w:eastAsia="仿宋_GB2312"/>
                <w:sz w:val="24"/>
                <w:szCs w:val="24"/>
                <w:lang w:val="en-US" w:eastAsia="zh-CN"/>
              </w:rPr>
              <w:t>50</w:t>
            </w:r>
            <w:r>
              <w:rPr>
                <w:rFonts w:ascii="仿宋_GB2312" w:hAnsi="仿宋" w:eastAsia="仿宋_GB2312"/>
                <w:sz w:val="24"/>
                <w:szCs w:val="24"/>
                <w:lang w:val="zh-CN"/>
              </w:rPr>
              <w:t>分的基础上减0.5分。（最低得20分）</w:t>
            </w:r>
          </w:p>
          <w:p>
            <w:pPr>
              <w:wordWrap w:val="0"/>
              <w:autoSpaceDE w:val="0"/>
              <w:autoSpaceDN w:val="0"/>
              <w:snapToGrid w:val="0"/>
              <w:spacing w:line="360" w:lineRule="exact"/>
              <w:ind w:firstLine="480" w:firstLineChars="200"/>
              <w:rPr>
                <w:rFonts w:ascii="仿宋_GB2312" w:hAnsi="仿宋" w:eastAsia="仿宋_GB2312"/>
                <w:color w:val="000000"/>
                <w:sz w:val="24"/>
                <w:szCs w:val="24"/>
                <w:lang w:val="zh-CN"/>
              </w:rPr>
            </w:pPr>
            <w:r>
              <w:rPr>
                <w:rFonts w:ascii="仿宋_GB2312" w:hAnsi="仿宋" w:eastAsia="仿宋_GB2312"/>
                <w:sz w:val="24"/>
                <w:szCs w:val="24"/>
                <w:lang w:val="zh-CN"/>
              </w:rPr>
              <w:t>偏差率=100%×（</w:t>
            </w:r>
            <w:r>
              <w:rPr>
                <w:rFonts w:hint="eastAsia" w:ascii="仿宋_GB2312" w:hAnsi="仿宋" w:eastAsia="仿宋_GB2312"/>
                <w:sz w:val="24"/>
                <w:szCs w:val="24"/>
                <w:lang w:val="zh-CN"/>
              </w:rPr>
              <w:t>供应商</w:t>
            </w:r>
            <w:r>
              <w:rPr>
                <w:rFonts w:ascii="仿宋_GB2312" w:hAnsi="仿宋" w:eastAsia="仿宋_GB2312"/>
                <w:sz w:val="24"/>
                <w:szCs w:val="24"/>
                <w:lang w:val="zh-CN"/>
              </w:rPr>
              <w:t>报价－评标基准价）/评标基准价</w:t>
            </w:r>
          </w:p>
        </w:tc>
      </w:tr>
    </w:tbl>
    <w:p>
      <w:pPr>
        <w:ind w:firstLine="640"/>
        <w:rPr>
          <w:rFonts w:hint="default"/>
          <w:lang w:val="en-US" w:eastAsia="zh-CN"/>
        </w:rPr>
      </w:pPr>
    </w:p>
    <w:p>
      <w:pPr>
        <w:spacing w:line="560" w:lineRule="exact"/>
        <w:ind w:firstLine="600" w:firstLineChars="200"/>
        <w:jc w:val="left"/>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.2 商务得分</w:t>
      </w:r>
    </w:p>
    <w:tbl>
      <w:tblPr>
        <w:tblStyle w:val="8"/>
        <w:tblW w:w="0" w:type="auto"/>
        <w:tblInd w:w="292" w:type="dxa"/>
        <w:tblLayout w:type="fixed"/>
        <w:tblCellMar>
          <w:top w:w="0" w:type="dxa"/>
          <w:left w:w="108" w:type="dxa"/>
          <w:bottom w:w="0" w:type="dxa"/>
          <w:right w:w="108" w:type="dxa"/>
        </w:tblCellMar>
      </w:tblPr>
      <w:tblGrid>
        <w:gridCol w:w="1346"/>
        <w:gridCol w:w="765"/>
        <w:gridCol w:w="5897"/>
      </w:tblGrid>
      <w:tr>
        <w:tblPrEx>
          <w:tblCellMar>
            <w:top w:w="0" w:type="dxa"/>
            <w:left w:w="108" w:type="dxa"/>
            <w:bottom w:w="0" w:type="dxa"/>
            <w:right w:w="108" w:type="dxa"/>
          </w:tblCellMar>
        </w:tblPrEx>
        <w:trPr>
          <w:trHeight w:val="74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zh-CN"/>
              </w:rPr>
              <w:t>专业资质文件</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hint="eastAsia" w:ascii="仿宋_GB2312" w:hAnsi="仿宋" w:eastAsia="仿宋_GB2312"/>
                <w:color w:val="000000"/>
                <w:sz w:val="24"/>
                <w:szCs w:val="24"/>
                <w:lang w:val="en-US" w:eastAsia="zh-CN"/>
              </w:rPr>
              <w:t>5</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autoSpaceDE/>
              <w:autoSpaceDN/>
              <w:snapToGrid/>
              <w:spacing w:line="240" w:lineRule="auto"/>
              <w:ind w:firstLine="480" w:firstLineChars="200"/>
              <w:rPr>
                <w:rFonts w:ascii="仿宋_GB2312" w:hAnsi="仿宋" w:eastAsia="仿宋_GB2312" w:cstheme="minorBidi"/>
                <w:color w:val="000000"/>
                <w:kern w:val="2"/>
                <w:sz w:val="24"/>
                <w:szCs w:val="24"/>
                <w:lang w:val="zh-CN" w:eastAsia="zh-CN" w:bidi="ar-SA"/>
              </w:rPr>
            </w:pPr>
            <w:r>
              <w:rPr>
                <w:rFonts w:hint="eastAsia" w:ascii="仿宋_GB2312" w:hAnsi="仿宋" w:eastAsia="仿宋_GB2312"/>
                <w:sz w:val="24"/>
                <w:szCs w:val="24"/>
                <w:lang w:val="zh-CN"/>
              </w:rPr>
              <w:t>提供</w:t>
            </w:r>
            <w:r>
              <w:rPr>
                <w:rFonts w:hint="eastAsia" w:ascii="仿宋_GB2312" w:hAnsi="仿宋" w:eastAsia="仿宋_GB2312" w:cstheme="minorBidi"/>
                <w:kern w:val="2"/>
                <w:sz w:val="24"/>
                <w:szCs w:val="24"/>
                <w:u w:val="none"/>
                <w:lang w:val="zh-CN" w:eastAsia="zh-CN"/>
              </w:rPr>
              <w:t>能证明供应商专业性的资质文件，如ISO9001质量管理体系证书、安全生产许可证、建筑施工总承包、机电安装工程专业总承包资质等。</w:t>
            </w:r>
            <w:r>
              <w:rPr>
                <w:rFonts w:hint="eastAsia" w:ascii="仿宋_GB2312" w:hAnsi="仿宋" w:eastAsia="仿宋_GB2312"/>
                <w:sz w:val="24"/>
                <w:szCs w:val="24"/>
              </w:rPr>
              <w:t>评委根据</w:t>
            </w:r>
            <w:r>
              <w:rPr>
                <w:rFonts w:hint="eastAsia" w:ascii="仿宋_GB2312" w:hAnsi="仿宋" w:eastAsia="仿宋_GB2312"/>
                <w:sz w:val="24"/>
                <w:szCs w:val="24"/>
                <w:lang w:eastAsia="zh-CN"/>
              </w:rPr>
              <w:t>资质情况</w:t>
            </w:r>
            <w:r>
              <w:rPr>
                <w:rFonts w:hint="eastAsia" w:ascii="仿宋_GB2312" w:hAnsi="仿宋" w:eastAsia="仿宋_GB2312"/>
                <w:sz w:val="24"/>
                <w:szCs w:val="24"/>
              </w:rPr>
              <w:t>酌情得0-</w:t>
            </w:r>
            <w:r>
              <w:rPr>
                <w:rFonts w:hint="eastAsia" w:ascii="仿宋_GB2312" w:hAnsi="仿宋" w:eastAsia="仿宋_GB2312"/>
                <w:sz w:val="24"/>
                <w:szCs w:val="24"/>
                <w:lang w:val="en-US" w:eastAsia="zh-CN"/>
              </w:rPr>
              <w:t>5</w:t>
            </w:r>
            <w:r>
              <w:rPr>
                <w:rFonts w:hint="eastAsia" w:ascii="仿宋_GB2312" w:hAnsi="仿宋" w:eastAsia="仿宋_GB2312"/>
                <w:sz w:val="24"/>
                <w:szCs w:val="24"/>
              </w:rPr>
              <w:t>分</w:t>
            </w:r>
            <w:r>
              <w:rPr>
                <w:rFonts w:hint="eastAsia" w:ascii="仿宋_GB2312" w:hAnsi="仿宋" w:eastAsia="仿宋_GB2312" w:cstheme="minorBidi"/>
                <w:kern w:val="2"/>
                <w:sz w:val="24"/>
                <w:szCs w:val="24"/>
                <w:u w:val="none"/>
                <w:lang w:val="zh-CN" w:eastAsia="zh-CN"/>
              </w:rPr>
              <w:t>；</w:t>
            </w:r>
          </w:p>
        </w:tc>
      </w:tr>
      <w:tr>
        <w:tblPrEx>
          <w:tblCellMar>
            <w:top w:w="0" w:type="dxa"/>
            <w:left w:w="108" w:type="dxa"/>
            <w:bottom w:w="0" w:type="dxa"/>
            <w:right w:w="108" w:type="dxa"/>
          </w:tblCellMar>
        </w:tblPrEx>
        <w:trPr>
          <w:trHeight w:val="1082" w:hRule="atLeast"/>
        </w:trPr>
        <w:tc>
          <w:tcPr>
            <w:tcW w:w="1346"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zh-CN" w:eastAsia="zh-CN" w:bidi="ar-SA"/>
              </w:rPr>
            </w:pPr>
            <w:r>
              <w:rPr>
                <w:rFonts w:ascii="仿宋_GB2312" w:hAnsi="仿宋" w:eastAsia="仿宋_GB2312"/>
                <w:color w:val="000000"/>
                <w:sz w:val="24"/>
                <w:szCs w:val="24"/>
                <w:lang w:val="zh-CN"/>
              </w:rPr>
              <w:t>企业业绩</w:t>
            </w:r>
          </w:p>
        </w:tc>
        <w:tc>
          <w:tcPr>
            <w:tcW w:w="765"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stheme="minorBidi"/>
                <w:color w:val="000000"/>
                <w:kern w:val="2"/>
                <w:sz w:val="24"/>
                <w:szCs w:val="24"/>
                <w:lang w:val="en-US" w:eastAsia="zh-CN" w:bidi="ar-SA"/>
              </w:rPr>
            </w:pPr>
            <w:r>
              <w:rPr>
                <w:rFonts w:ascii="仿宋_GB2312" w:hAnsi="仿宋" w:eastAsia="仿宋_GB2312"/>
                <w:color w:val="000000"/>
                <w:sz w:val="24"/>
                <w:szCs w:val="24"/>
                <w:lang w:val="zh-CN"/>
              </w:rPr>
              <w:t>2</w:t>
            </w:r>
            <w:r>
              <w:rPr>
                <w:rFonts w:hint="eastAsia" w:ascii="仿宋_GB2312" w:hAnsi="仿宋" w:eastAsia="仿宋_GB2312"/>
                <w:color w:val="000000"/>
                <w:sz w:val="24"/>
                <w:szCs w:val="24"/>
                <w:lang w:val="en-US" w:eastAsia="zh-CN"/>
              </w:rPr>
              <w:t>0</w:t>
            </w:r>
          </w:p>
        </w:tc>
        <w:tc>
          <w:tcPr>
            <w:tcW w:w="5897"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spacing w:line="360" w:lineRule="exact"/>
              <w:rPr>
                <w:rFonts w:hint="eastAsia" w:ascii="仿宋_GB2312" w:hAnsi="仿宋" w:eastAsia="仿宋_GB2312" w:cstheme="minorBidi"/>
                <w:color w:val="000000"/>
                <w:kern w:val="2"/>
                <w:sz w:val="24"/>
                <w:szCs w:val="24"/>
                <w:lang w:val="zh-CN" w:eastAsia="zh-CN" w:bidi="ar-SA"/>
              </w:rPr>
            </w:pPr>
            <w:r>
              <w:rPr>
                <w:rFonts w:ascii="仿宋_GB2312" w:hAnsi="仿宋" w:eastAsia="仿宋_GB2312"/>
                <w:sz w:val="24"/>
                <w:szCs w:val="24"/>
                <w:lang w:val="zh-CN"/>
              </w:rPr>
              <w:t>提供</w:t>
            </w:r>
            <w:r>
              <w:rPr>
                <w:rFonts w:hint="eastAsia" w:ascii="仿宋_GB2312" w:hAnsi="仿宋" w:eastAsia="仿宋_GB2312"/>
                <w:sz w:val="24"/>
                <w:szCs w:val="24"/>
                <w:lang w:val="en-US" w:eastAsia="zh-CN"/>
              </w:rPr>
              <w:t>近2年以来的类似维修施工业绩合同，每个业绩</w:t>
            </w:r>
            <w:r>
              <w:rPr>
                <w:rFonts w:ascii="仿宋_GB2312" w:hAnsi="仿宋" w:eastAsia="仿宋_GB2312"/>
                <w:sz w:val="24"/>
                <w:szCs w:val="24"/>
                <w:lang w:val="zh-CN"/>
              </w:rPr>
              <w:t>得基本分</w:t>
            </w:r>
            <w:r>
              <w:rPr>
                <w:rFonts w:hint="eastAsia" w:ascii="仿宋_GB2312" w:hAnsi="仿宋" w:eastAsia="仿宋_GB2312"/>
                <w:sz w:val="24"/>
                <w:szCs w:val="24"/>
                <w:lang w:val="en-US" w:eastAsia="zh-CN"/>
              </w:rPr>
              <w:t>2</w:t>
            </w:r>
            <w:r>
              <w:rPr>
                <w:rFonts w:ascii="仿宋_GB2312" w:hAnsi="仿宋" w:eastAsia="仿宋_GB2312"/>
                <w:sz w:val="24"/>
                <w:szCs w:val="24"/>
                <w:lang w:val="zh-CN"/>
              </w:rPr>
              <w:t>分，满分20分。</w:t>
            </w:r>
          </w:p>
        </w:tc>
      </w:tr>
    </w:tbl>
    <w:p>
      <w:pPr>
        <w:pStyle w:val="3"/>
        <w:ind w:firstLine="600"/>
        <w:rPr>
          <w:rFonts w:hint="eastAsia" w:ascii="仿宋_GB2312" w:eastAsia="仿宋_GB2312" w:hAnsiTheme="minorHAnsi" w:cstheme="minorBidi"/>
          <w:b w:val="0"/>
          <w:bCs w:val="0"/>
          <w:kern w:val="2"/>
          <w:sz w:val="30"/>
          <w:szCs w:val="30"/>
          <w:lang w:val="en-US" w:eastAsia="zh-CN" w:bidi="ar-SA"/>
        </w:rPr>
      </w:pPr>
      <w:r>
        <w:rPr>
          <w:rFonts w:hint="eastAsia" w:ascii="仿宋_GB2312" w:eastAsia="仿宋_GB2312" w:cstheme="minorBidi"/>
          <w:b w:val="0"/>
          <w:bCs w:val="0"/>
          <w:kern w:val="2"/>
          <w:sz w:val="30"/>
          <w:szCs w:val="30"/>
          <w:lang w:val="en-US" w:eastAsia="zh-CN" w:bidi="ar-SA"/>
        </w:rPr>
        <w:t>3</w:t>
      </w:r>
      <w:r>
        <w:rPr>
          <w:rFonts w:hint="eastAsia" w:ascii="仿宋_GB2312" w:eastAsia="仿宋_GB2312" w:hAnsiTheme="minorHAnsi" w:cstheme="minorBidi"/>
          <w:b w:val="0"/>
          <w:bCs w:val="0"/>
          <w:kern w:val="2"/>
          <w:sz w:val="30"/>
          <w:szCs w:val="30"/>
          <w:lang w:val="en-US" w:eastAsia="zh-CN" w:bidi="ar-SA"/>
        </w:rPr>
        <w:t>.3技术得分</w:t>
      </w:r>
    </w:p>
    <w:tbl>
      <w:tblPr>
        <w:tblStyle w:val="8"/>
        <w:tblW w:w="8008" w:type="dxa"/>
        <w:tblInd w:w="292" w:type="dxa"/>
        <w:tblLayout w:type="fixed"/>
        <w:tblCellMar>
          <w:top w:w="0" w:type="dxa"/>
          <w:left w:w="108" w:type="dxa"/>
          <w:bottom w:w="0" w:type="dxa"/>
          <w:right w:w="108" w:type="dxa"/>
        </w:tblCellMar>
      </w:tblPr>
      <w:tblGrid>
        <w:gridCol w:w="489"/>
        <w:gridCol w:w="859"/>
        <w:gridCol w:w="850"/>
        <w:gridCol w:w="5810"/>
      </w:tblGrid>
      <w:tr>
        <w:trPr>
          <w:trHeight w:val="663" w:hRule="atLeast"/>
        </w:trPr>
        <w:tc>
          <w:tcPr>
            <w:tcW w:w="1348" w:type="dxa"/>
            <w:gridSpan w:val="2"/>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评审项目</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分值</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b/>
                <w:color w:val="000000"/>
                <w:sz w:val="24"/>
                <w:szCs w:val="24"/>
                <w:lang w:val="zh-CN"/>
              </w:rPr>
            </w:pPr>
            <w:r>
              <w:rPr>
                <w:rFonts w:ascii="仿宋_GB2312" w:hAnsi="仿宋" w:eastAsia="仿宋_GB2312"/>
                <w:b/>
                <w:color w:val="000000"/>
                <w:sz w:val="24"/>
                <w:szCs w:val="24"/>
                <w:lang w:val="zh-CN"/>
              </w:rPr>
              <w:t>评分标准</w:t>
            </w:r>
          </w:p>
        </w:tc>
      </w:tr>
      <w:tr>
        <w:tblPrEx>
          <w:tblCellMar>
            <w:top w:w="0" w:type="dxa"/>
            <w:left w:w="108" w:type="dxa"/>
            <w:bottom w:w="0" w:type="dxa"/>
            <w:right w:w="108" w:type="dxa"/>
          </w:tblCellMar>
        </w:tblPrEx>
        <w:trPr>
          <w:trHeight w:val="1179" w:hRule="atLeast"/>
        </w:trPr>
        <w:tc>
          <w:tcPr>
            <w:tcW w:w="489" w:type="dxa"/>
            <w:tcBorders>
              <w:left w:val="single" w:color="auto" w:sz="6" w:space="0"/>
              <w:right w:val="single" w:color="auto" w:sz="6" w:space="0"/>
            </w:tcBorders>
            <w:noWrap w:val="0"/>
            <w:vAlign w:val="center"/>
          </w:tcPr>
          <w:p>
            <w:pPr>
              <w:wordWrap w:val="0"/>
              <w:autoSpaceDE w:val="0"/>
              <w:autoSpaceDN w:val="0"/>
              <w:snapToGrid w:val="0"/>
              <w:jc w:val="center"/>
              <w:rPr>
                <w:rFonts w:ascii="仿宋_GB2312" w:hAnsi="仿宋" w:eastAsia="仿宋_GB2312"/>
                <w:color w:val="000000"/>
                <w:sz w:val="24"/>
                <w:szCs w:val="24"/>
                <w:lang w:val="zh-CN"/>
              </w:rPr>
            </w:pPr>
          </w:p>
        </w:tc>
        <w:tc>
          <w:tcPr>
            <w:tcW w:w="859"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eastAsia" w:ascii="仿宋_GB2312" w:hAnsi="仿宋" w:eastAsia="仿宋_GB2312"/>
                <w:color w:val="000000"/>
                <w:sz w:val="24"/>
                <w:szCs w:val="24"/>
                <w:lang w:val="zh-CN" w:eastAsia="zh-CN"/>
              </w:rPr>
            </w:pPr>
            <w:r>
              <w:rPr>
                <w:rFonts w:hint="eastAsia" w:ascii="仿宋_GB2312" w:hAnsi="宋体" w:eastAsia="仿宋_GB2312"/>
                <w:sz w:val="24"/>
                <w:szCs w:val="24"/>
                <w:lang w:eastAsia="zh-CN"/>
              </w:rPr>
              <w:t>方案</w:t>
            </w:r>
          </w:p>
        </w:tc>
        <w:tc>
          <w:tcPr>
            <w:tcW w:w="850" w:type="dxa"/>
            <w:tcBorders>
              <w:top w:val="single" w:color="auto" w:sz="6" w:space="0"/>
              <w:left w:val="single" w:color="auto" w:sz="6" w:space="0"/>
              <w:bottom w:val="single" w:color="auto" w:sz="6" w:space="0"/>
              <w:right w:val="single" w:color="auto" w:sz="6" w:space="0"/>
            </w:tcBorders>
            <w:noWrap w:val="0"/>
            <w:vAlign w:val="center"/>
          </w:tcPr>
          <w:p>
            <w:pPr>
              <w:wordWrap w:val="0"/>
              <w:autoSpaceDE w:val="0"/>
              <w:autoSpaceDN w:val="0"/>
              <w:snapToGrid w:val="0"/>
              <w:jc w:val="center"/>
              <w:rPr>
                <w:rFonts w:hint="default" w:ascii="仿宋_GB2312" w:hAnsi="仿宋" w:eastAsia="仿宋_GB2312"/>
                <w:color w:val="000000"/>
                <w:sz w:val="24"/>
                <w:szCs w:val="24"/>
                <w:lang w:val="en-US" w:eastAsia="zh-CN"/>
              </w:rPr>
            </w:pPr>
            <w:r>
              <w:rPr>
                <w:rFonts w:hint="eastAsia" w:ascii="仿宋_GB2312" w:hAnsi="仿宋" w:eastAsia="仿宋_GB2312"/>
                <w:color w:val="000000"/>
                <w:sz w:val="24"/>
                <w:szCs w:val="24"/>
                <w:lang w:val="en-US" w:eastAsia="zh-CN"/>
              </w:rPr>
              <w:t>25</w:t>
            </w:r>
          </w:p>
        </w:tc>
        <w:tc>
          <w:tcPr>
            <w:tcW w:w="5810" w:type="dxa"/>
            <w:tcBorders>
              <w:top w:val="single" w:color="auto" w:sz="6" w:space="0"/>
              <w:left w:val="single" w:color="auto" w:sz="6" w:space="0"/>
              <w:bottom w:val="single" w:color="auto" w:sz="6" w:space="0"/>
              <w:right w:val="single" w:color="auto" w:sz="6" w:space="0"/>
            </w:tcBorders>
            <w:noWrap w:val="0"/>
            <w:vAlign w:val="center"/>
          </w:tcPr>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1、提供施工方案的，得</w:t>
            </w:r>
            <w:r>
              <w:rPr>
                <w:rFonts w:hint="eastAsia" w:ascii="仿宋_GB2312" w:hAnsi="宋体" w:eastAsia="仿宋_GB2312"/>
                <w:sz w:val="24"/>
                <w:szCs w:val="24"/>
                <w:lang w:val="en-US" w:eastAsia="zh-CN"/>
              </w:rPr>
              <w:t>2</w:t>
            </w:r>
            <w:r>
              <w:rPr>
                <w:rFonts w:hint="eastAsia" w:ascii="仿宋_GB2312" w:hAnsi="宋体" w:eastAsia="仿宋_GB2312"/>
                <w:sz w:val="24"/>
                <w:szCs w:val="24"/>
                <w:lang w:val="zh-CN" w:eastAsia="zh-CN"/>
              </w:rPr>
              <w:t>分</w:t>
            </w:r>
            <w:r>
              <w:rPr>
                <w:rFonts w:hint="eastAsia" w:ascii="仿宋_GB2312" w:hAnsi="宋体" w:eastAsia="仿宋_GB2312"/>
                <w:sz w:val="24"/>
                <w:szCs w:val="24"/>
                <w:lang w:val="zh-CN"/>
              </w:rPr>
              <w:t>；</w:t>
            </w:r>
          </w:p>
          <w:p>
            <w:pPr>
              <w:wordWrap/>
              <w:autoSpaceDE w:val="0"/>
              <w:autoSpaceDN w:val="0"/>
              <w:snapToGrid w:val="0"/>
              <w:spacing w:line="360" w:lineRule="exact"/>
              <w:rPr>
                <w:rFonts w:hint="eastAsia" w:ascii="仿宋_GB2312" w:hAnsi="宋体" w:eastAsia="仿宋_GB2312"/>
                <w:sz w:val="24"/>
                <w:szCs w:val="24"/>
                <w:lang w:val="zh-CN"/>
              </w:rPr>
            </w:pPr>
            <w:r>
              <w:rPr>
                <w:rFonts w:hint="eastAsia" w:ascii="仿宋_GB2312" w:hAnsi="宋体" w:eastAsia="仿宋_GB2312"/>
                <w:sz w:val="24"/>
                <w:szCs w:val="24"/>
                <w:lang w:val="zh-CN" w:eastAsia="zh-CN"/>
              </w:rPr>
              <w:t>施工方案</w:t>
            </w:r>
            <w:r>
              <w:rPr>
                <w:rFonts w:hint="eastAsia" w:ascii="仿宋_GB2312" w:hAnsi="宋体" w:eastAsia="仿宋_GB2312" w:cstheme="minorBidi"/>
                <w:kern w:val="2"/>
                <w:sz w:val="24"/>
                <w:szCs w:val="24"/>
                <w:u w:val="none"/>
                <w:lang w:val="zh-CN" w:eastAsia="zh-CN"/>
              </w:rPr>
              <w:t>详述除锈、刷漆的方式方法，所用油漆</w:t>
            </w:r>
            <w:r>
              <w:rPr>
                <w:rFonts w:hint="eastAsia" w:ascii="仿宋_GB2312" w:hAnsi="宋体" w:eastAsia="仿宋_GB2312" w:cstheme="minorBidi"/>
                <w:sz w:val="24"/>
                <w:szCs w:val="24"/>
                <w:lang w:val="zh-CN" w:eastAsia="zh-CN"/>
              </w:rPr>
              <w:t>具体品牌、规格型号、性能</w:t>
            </w:r>
            <w:r>
              <w:rPr>
                <w:rFonts w:hint="eastAsia" w:ascii="仿宋_GB2312" w:hAnsi="宋体" w:eastAsia="仿宋_GB2312" w:cstheme="minorBidi"/>
                <w:kern w:val="2"/>
                <w:sz w:val="24"/>
                <w:szCs w:val="24"/>
                <w:u w:val="none"/>
                <w:lang w:val="zh-CN" w:eastAsia="zh-CN"/>
              </w:rPr>
              <w:t>，高处施工所用的辅助设备设施及方式方法等内容</w:t>
            </w:r>
            <w:r>
              <w:rPr>
                <w:rFonts w:hint="eastAsia" w:ascii="仿宋_GB2312" w:hAnsi="宋体" w:eastAsia="仿宋_GB2312"/>
                <w:sz w:val="24"/>
                <w:szCs w:val="24"/>
                <w:lang w:val="zh-CN" w:eastAsia="zh-CN"/>
              </w:rPr>
              <w:t>且方案全面、可行的，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15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2、提供安全施工方案的，得2分；</w:t>
            </w:r>
          </w:p>
          <w:p>
            <w:pPr>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安全施工方案详述高处施工防护措施、安全施工措施、运输保障措施、现场环境保护措施等内容且方案全面、合理的，</w:t>
            </w:r>
            <w:r>
              <w:rPr>
                <w:rFonts w:hint="eastAsia" w:ascii="仿宋_GB2312" w:hAnsi="宋体" w:eastAsia="仿宋_GB2312"/>
                <w:sz w:val="24"/>
                <w:szCs w:val="24"/>
                <w:lang w:val="zh-CN"/>
              </w:rPr>
              <w:t>评委根据</w:t>
            </w:r>
            <w:r>
              <w:rPr>
                <w:rFonts w:hint="eastAsia" w:ascii="仿宋_GB2312" w:hAnsi="宋体" w:eastAsia="仿宋_GB2312"/>
                <w:sz w:val="24"/>
                <w:szCs w:val="24"/>
                <w:lang w:val="zh-CN" w:eastAsia="zh-CN"/>
              </w:rPr>
              <w:t>文件</w:t>
            </w:r>
            <w:r>
              <w:rPr>
                <w:rFonts w:hint="eastAsia" w:ascii="仿宋_GB2312" w:hAnsi="宋体" w:eastAsia="仿宋_GB2312"/>
                <w:sz w:val="24"/>
                <w:szCs w:val="24"/>
                <w:lang w:val="zh-CN"/>
              </w:rPr>
              <w:t>情况酌情得0-</w:t>
            </w:r>
            <w:r>
              <w:rPr>
                <w:rFonts w:hint="eastAsia" w:ascii="仿宋_GB2312" w:hAnsi="宋体" w:eastAsia="仿宋_GB2312"/>
                <w:sz w:val="24"/>
                <w:szCs w:val="24"/>
                <w:lang w:val="zh-CN" w:eastAsia="zh-CN"/>
              </w:rPr>
              <w:t>5</w:t>
            </w:r>
            <w:r>
              <w:rPr>
                <w:rFonts w:hint="eastAsia" w:ascii="仿宋_GB2312" w:hAnsi="宋体" w:eastAsia="仿宋_GB2312"/>
                <w:sz w:val="24"/>
                <w:szCs w:val="24"/>
                <w:lang w:val="zh-CN"/>
              </w:rPr>
              <w:t>分</w:t>
            </w:r>
            <w:r>
              <w:rPr>
                <w:rFonts w:hint="eastAsia" w:ascii="仿宋_GB2312" w:hAnsi="宋体" w:eastAsia="仿宋_GB2312"/>
                <w:sz w:val="24"/>
                <w:szCs w:val="24"/>
                <w:lang w:val="zh-CN" w:eastAsia="zh-CN"/>
              </w:rPr>
              <w:t>。</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若此条缺项不得分；</w:t>
            </w:r>
          </w:p>
          <w:p>
            <w:pPr>
              <w:wordWrap/>
              <w:autoSpaceDE w:val="0"/>
              <w:autoSpaceDN w:val="0"/>
              <w:snapToGrid w:val="0"/>
              <w:spacing w:line="360" w:lineRule="exact"/>
              <w:rPr>
                <w:rFonts w:hint="eastAsia" w:ascii="仿宋_GB2312" w:hAnsi="宋体" w:eastAsia="仿宋_GB2312"/>
                <w:sz w:val="24"/>
                <w:szCs w:val="24"/>
                <w:lang w:val="zh-CN" w:eastAsia="zh-CN"/>
              </w:rPr>
            </w:pPr>
            <w:r>
              <w:rPr>
                <w:rFonts w:hint="eastAsia" w:ascii="仿宋_GB2312" w:hAnsi="宋体" w:eastAsia="仿宋_GB2312"/>
                <w:sz w:val="24"/>
                <w:szCs w:val="24"/>
                <w:lang w:val="zh-CN" w:eastAsia="zh-CN"/>
              </w:rPr>
              <w:t>3、提供施工总进度计划及保障措施的，得1分；</w:t>
            </w:r>
          </w:p>
          <w:p>
            <w:pPr>
              <w:autoSpaceDE w:val="0"/>
              <w:autoSpaceDN w:val="0"/>
              <w:snapToGrid w:val="0"/>
              <w:spacing w:line="360" w:lineRule="exact"/>
              <w:rPr>
                <w:rFonts w:hint="eastAsia"/>
                <w:lang w:val="zh-CN" w:eastAsia="zh-CN"/>
              </w:rPr>
            </w:pPr>
            <w:r>
              <w:rPr>
                <w:rFonts w:hint="eastAsia" w:ascii="仿宋_GB2312" w:hAnsi="宋体" w:eastAsia="仿宋_GB2312"/>
                <w:sz w:val="24"/>
                <w:szCs w:val="24"/>
                <w:lang w:val="zh-CN" w:eastAsia="zh-CN"/>
              </w:rPr>
              <w:t>若此条缺项不得分；</w:t>
            </w:r>
          </w:p>
        </w:tc>
      </w:tr>
    </w:tbl>
    <w:p>
      <w:pPr>
        <w:ind w:firstLine="640" w:firstLineChars="200"/>
        <w:rPr>
          <w:rFonts w:ascii="黑体" w:hAnsi="黑体" w:eastAsia="黑体" w:cs="Times New Roman"/>
          <w:sz w:val="32"/>
          <w:szCs w:val="32"/>
        </w:rPr>
      </w:pPr>
      <w:r>
        <w:rPr>
          <w:rFonts w:hint="eastAsia" w:ascii="黑体" w:hAnsi="黑体" w:eastAsia="黑体" w:cs="Times New Roman"/>
          <w:sz w:val="32"/>
          <w:szCs w:val="32"/>
        </w:rPr>
        <w:t>五、中标人的确定</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通过审查、考核、评比，评标委员会按照供应商的综合得分多少由高到低进行排序，并形成评标报告,采购人根据评标委员会提出的书面评标报告和推荐的中标候选人经核查合格后确定中标人。</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排名第一的中标候选人放弃中标、因不可抗力不能履行合同、或者被查实存在影响中标结果的违法行为等情形，不符合中标条件的，</w:t>
      </w:r>
      <w:r>
        <w:rPr>
          <w:rFonts w:hint="eastAsia" w:ascii="仿宋_GB2312" w:hAnsi="Times New Roman" w:eastAsia="仿宋_GB2312" w:cs="Times New Roman"/>
          <w:sz w:val="32"/>
          <w:szCs w:val="32"/>
          <w:lang w:eastAsia="zh-CN"/>
        </w:rPr>
        <w:t>采购人</w:t>
      </w:r>
      <w:r>
        <w:rPr>
          <w:rFonts w:hint="eastAsia" w:ascii="仿宋_GB2312" w:hAnsi="Times New Roman" w:eastAsia="仿宋_GB2312" w:cs="Times New Roman"/>
          <w:sz w:val="32"/>
          <w:szCs w:val="32"/>
        </w:rPr>
        <w:t>可以按照评标委员会提出的中标候选人名单排序依次确定其他中标候选人为中标人，也可以重新招标。</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六、评标纪律</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（一）</w:t>
      </w:r>
      <w:r>
        <w:rPr>
          <w:rFonts w:hint="eastAsia" w:ascii="仿宋_GB2312" w:hAnsi="Times New Roman" w:eastAsia="仿宋_GB2312" w:cs="Times New Roman"/>
          <w:spacing w:val="-10"/>
          <w:sz w:val="32"/>
          <w:szCs w:val="32"/>
        </w:rPr>
        <w:t>评标是招标工作的重要环节，评标工作在评标委员会内独立进行。评标</w:t>
      </w:r>
      <w:r>
        <w:rPr>
          <w:rFonts w:hint="eastAsia" w:ascii="仿宋_GB2312" w:hAnsi="Times New Roman" w:eastAsia="仿宋_GB2312" w:cs="Times New Roman"/>
          <w:spacing w:val="-4"/>
          <w:sz w:val="32"/>
          <w:szCs w:val="32"/>
        </w:rPr>
        <w:t>委员会将按照评标原则的要求，公正、平等地对待所有供应商。</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（二）所有评标人员应忠于职守、廉洁自律、秉公办事、不徇私情。</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（三）</w:t>
      </w:r>
      <w:r>
        <w:rPr>
          <w:rFonts w:hint="eastAsia" w:ascii="仿宋_GB2312" w:hAnsi="Times New Roman" w:eastAsia="仿宋_GB2312" w:cs="Times New Roman"/>
          <w:spacing w:val="-10"/>
          <w:sz w:val="32"/>
          <w:szCs w:val="32"/>
        </w:rPr>
        <w:t>评标人员不得接受或参加供应商或与投标有关的单位、组织或个人的有</w:t>
      </w:r>
      <w:r>
        <w:rPr>
          <w:rFonts w:hint="eastAsia" w:ascii="仿宋_GB2312" w:hAnsi="Times New Roman" w:eastAsia="仿宋_GB2312" w:cs="Times New Roman"/>
          <w:spacing w:val="-4"/>
          <w:sz w:val="32"/>
          <w:szCs w:val="32"/>
        </w:rPr>
        <w:t>碍公务的宴请、娱乐活动等，不得以任何形式弄虚作假。</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（四）评标期间，评委不得随意与外界通讯、会客等。</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（五）</w:t>
      </w:r>
      <w:r>
        <w:rPr>
          <w:rFonts w:hint="eastAsia" w:ascii="仿宋_GB2312" w:hAnsi="Times New Roman" w:eastAsia="仿宋_GB2312" w:cs="Times New Roman"/>
          <w:spacing w:val="-11"/>
          <w:sz w:val="32"/>
          <w:szCs w:val="32"/>
        </w:rPr>
        <w:t>在投标文件的审查、澄清、评价和比较以及授予合同的过程中，供应商</w:t>
      </w:r>
      <w:r>
        <w:rPr>
          <w:rFonts w:hint="eastAsia" w:ascii="仿宋_GB2312" w:hAnsi="Times New Roman" w:eastAsia="仿宋_GB2312" w:cs="Times New Roman"/>
          <w:spacing w:val="-5"/>
          <w:sz w:val="32"/>
          <w:szCs w:val="32"/>
        </w:rPr>
        <w:t>对采购人及评标委员会其他成员施加影响的任何行为，都将导致被取消投标资格。</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（六）</w:t>
      </w:r>
      <w:r>
        <w:rPr>
          <w:rFonts w:hint="eastAsia" w:ascii="仿宋_GB2312" w:hAnsi="Times New Roman" w:eastAsia="仿宋_GB2312" w:cs="Times New Roman"/>
          <w:spacing w:val="-12"/>
          <w:sz w:val="32"/>
          <w:szCs w:val="32"/>
        </w:rPr>
        <w:t>为保证定标的公正性，在评标过程中，评委不得与供应商或招标结果有</w:t>
      </w:r>
      <w:r>
        <w:rPr>
          <w:rFonts w:hint="eastAsia" w:ascii="仿宋_GB2312" w:hAnsi="Times New Roman" w:eastAsia="仿宋_GB2312" w:cs="Times New Roman"/>
          <w:spacing w:val="-5"/>
          <w:sz w:val="32"/>
          <w:szCs w:val="32"/>
        </w:rPr>
        <w:t>利害关系的人进行私下接触。在评标工作结束后，凡与评标情况有接触的任何</w:t>
      </w:r>
      <w:r>
        <w:rPr>
          <w:rFonts w:hint="eastAsia" w:ascii="仿宋_GB2312" w:hAnsi="Times New Roman" w:eastAsia="仿宋_GB2312" w:cs="Times New Roman"/>
          <w:spacing w:val="-3"/>
          <w:sz w:val="32"/>
          <w:szCs w:val="32"/>
        </w:rPr>
        <w:t>人，不得将评标情况扩散出评标委员会以外。</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（七）</w:t>
      </w:r>
      <w:r>
        <w:rPr>
          <w:rFonts w:hint="eastAsia" w:ascii="仿宋_GB2312" w:hAnsi="Times New Roman" w:eastAsia="仿宋_GB2312" w:cs="Times New Roman"/>
          <w:spacing w:val="-11"/>
          <w:sz w:val="32"/>
          <w:szCs w:val="32"/>
        </w:rPr>
        <w:t>评标结束后，各评标人员应将全部资料整理上交采购人，严禁将评标过</w:t>
      </w:r>
      <w:r>
        <w:rPr>
          <w:rFonts w:hint="eastAsia" w:ascii="仿宋_GB2312" w:hAnsi="Times New Roman" w:eastAsia="仿宋_GB2312" w:cs="Times New Roman"/>
          <w:spacing w:val="-5"/>
          <w:sz w:val="32"/>
          <w:szCs w:val="32"/>
        </w:rPr>
        <w:t>程中的任何资料带出评标现场向供应商或其他单位提供。</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（八）评标委员会对各供应商的商业秘密予以保密。</w:t>
      </w:r>
    </w:p>
    <w:p>
      <w:pPr>
        <w:ind w:firstLine="636" w:firstLineChars="200"/>
        <w:rPr>
          <w:rFonts w:ascii="仿宋_GB2312" w:hAnsi="Times New Roman" w:eastAsia="仿宋_GB2312" w:cs="Times New Roman"/>
          <w:sz w:val="32"/>
          <w:szCs w:val="32"/>
        </w:rPr>
      </w:pPr>
      <w:r>
        <w:rPr>
          <w:rFonts w:hint="eastAsia" w:ascii="仿宋_GB2312" w:hAnsi="Times New Roman" w:eastAsia="仿宋_GB2312" w:cs="Times New Roman"/>
          <w:spacing w:val="-1"/>
          <w:sz w:val="32"/>
          <w:szCs w:val="32"/>
        </w:rPr>
        <w:t>（九）</w:t>
      </w:r>
      <w:r>
        <w:rPr>
          <w:rFonts w:hint="eastAsia" w:ascii="仿宋_GB2312" w:hAnsi="Times New Roman" w:eastAsia="仿宋_GB2312" w:cs="Times New Roman"/>
          <w:spacing w:val="-10"/>
          <w:sz w:val="32"/>
          <w:szCs w:val="32"/>
        </w:rPr>
        <w:t>评标委员会成员应当客观、公正地履行职责，遵守职业道德，对所提出</w:t>
      </w:r>
      <w:r>
        <w:rPr>
          <w:rFonts w:hint="eastAsia" w:ascii="仿宋_GB2312" w:hAnsi="Times New Roman" w:eastAsia="仿宋_GB2312" w:cs="Times New Roman"/>
          <w:spacing w:val="-4"/>
          <w:sz w:val="32"/>
          <w:szCs w:val="32"/>
        </w:rPr>
        <w:t>的评审意见承担个人责任。</w:t>
      </w: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（十）在整个评标过程中，供应商企图影响招标结果的任何活动，可能导致投标失败。如有违法行为，将依法追究其法律责任。</w:t>
      </w:r>
    </w:p>
    <w:p>
      <w:pPr>
        <w:ind w:firstLine="640" w:firstLineChars="200"/>
        <w:rPr>
          <w:rFonts w:ascii="黑体" w:hAnsi="黑体" w:eastAsia="黑体" w:cs="Times New Roman"/>
          <w:sz w:val="32"/>
          <w:szCs w:val="32"/>
        </w:rPr>
      </w:pPr>
      <w:r>
        <w:rPr>
          <w:rFonts w:hint="eastAsia" w:ascii="黑体" w:hAnsi="黑体" w:eastAsia="黑体" w:cs="Times New Roman"/>
          <w:sz w:val="32"/>
          <w:szCs w:val="32"/>
        </w:rPr>
        <w:t>七、中标通知书</w:t>
      </w:r>
    </w:p>
    <w:p>
      <w:pPr>
        <w:ind w:firstLine="572" w:firstLineChars="200"/>
        <w:rPr>
          <w:rFonts w:hint="eastAsia" w:ascii="仿宋_GB2312" w:hAnsi="Times New Roman" w:eastAsia="仿宋_GB2312" w:cs="Times New Roman"/>
          <w:spacing w:val="-17"/>
          <w:sz w:val="32"/>
          <w:szCs w:val="32"/>
        </w:rPr>
      </w:pPr>
      <w:r>
        <w:rPr>
          <w:rFonts w:hint="eastAsia" w:ascii="仿宋_GB2312" w:hAnsi="Times New Roman" w:eastAsia="仿宋_GB2312" w:cs="Times New Roman"/>
          <w:spacing w:val="-17"/>
          <w:sz w:val="32"/>
          <w:szCs w:val="32"/>
        </w:rPr>
        <w:t>评标结束并确定中标结果后，向中标人签发《中标通知书》。</w:t>
      </w:r>
      <w:bookmarkStart w:id="0" w:name="第五部分___授予合同"/>
      <w:bookmarkEnd w:id="0"/>
      <w:bookmarkStart w:id="1" w:name="_bookmark4"/>
      <w:bookmarkEnd w:id="1"/>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ind w:left="0" w:leftChars="0" w:firstLine="0" w:firstLineChars="0"/>
        <w:rPr>
          <w:rFonts w:hint="eastAsia" w:ascii="仿宋_GB2312" w:hAnsi="Times New Roman" w:eastAsia="仿宋_GB2312" w:cs="Times New Roman"/>
          <w:spacing w:val="-17"/>
          <w:sz w:val="32"/>
          <w:szCs w:val="32"/>
        </w:rPr>
      </w:pPr>
    </w:p>
    <w:p>
      <w:pPr>
        <w:rPr>
          <w:rFonts w:hint="eastAsia" w:ascii="仿宋_GB2312" w:hAnsi="仿宋_GB2312" w:eastAsia="仿宋_GB2312" w:cs="仿宋_GB2312"/>
          <w:spacing w:val="-17"/>
          <w:sz w:val="32"/>
          <w:szCs w:val="32"/>
          <w:lang w:val="en-US"/>
        </w:rPr>
      </w:pPr>
      <w:r>
        <w:rPr>
          <w:rFonts w:hint="eastAsia" w:ascii="仿宋_GB2312" w:hAnsi="仿宋_GB2312" w:eastAsia="仿宋_GB2312" w:cs="仿宋_GB2312"/>
          <w:sz w:val="32"/>
          <w:szCs w:val="32"/>
          <w:lang w:eastAsia="zh-CN"/>
        </w:rPr>
        <w:t>附表：报价单</w:t>
      </w:r>
    </w:p>
    <w:tbl>
      <w:tblPr>
        <w:tblStyle w:val="8"/>
        <w:tblpPr w:leftFromText="180" w:rightFromText="180" w:vertAnchor="text" w:horzAnchor="page" w:tblpX="1736" w:tblpY="246"/>
        <w:tblOverlap w:val="never"/>
        <w:tblW w:w="7940" w:type="dxa"/>
        <w:tblInd w:w="0" w:type="dxa"/>
        <w:shd w:val="clear" w:color="auto" w:fill="auto"/>
        <w:tblLayout w:type="fixed"/>
        <w:tblCellMar>
          <w:top w:w="0" w:type="dxa"/>
          <w:left w:w="108" w:type="dxa"/>
          <w:bottom w:w="0" w:type="dxa"/>
          <w:right w:w="108" w:type="dxa"/>
        </w:tblCellMar>
      </w:tblPr>
      <w:tblGrid>
        <w:gridCol w:w="716"/>
        <w:gridCol w:w="1140"/>
        <w:gridCol w:w="382"/>
        <w:gridCol w:w="1097"/>
        <w:gridCol w:w="1153"/>
        <w:gridCol w:w="981"/>
        <w:gridCol w:w="2471"/>
      </w:tblGrid>
      <w:tr>
        <w:tblPrEx>
          <w:shd w:val="clear" w:color="auto" w:fill="auto"/>
          <w:tblCellMar>
            <w:top w:w="0" w:type="dxa"/>
            <w:left w:w="108" w:type="dxa"/>
            <w:bottom w:w="0" w:type="dxa"/>
            <w:right w:w="108" w:type="dxa"/>
          </w:tblCellMar>
        </w:tblPrEx>
        <w:trPr>
          <w:trHeight w:val="474" w:hRule="atLeast"/>
        </w:trPr>
        <w:tc>
          <w:tcPr>
            <w:tcW w:w="7940" w:type="dxa"/>
            <w:gridSpan w:val="7"/>
            <w:vMerge w:val="restart"/>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sz w:val="36"/>
                <w:szCs w:val="36"/>
                <w:lang w:val="zh-CN"/>
              </w:rPr>
            </w:pPr>
            <w:r>
              <w:rPr>
                <w:rFonts w:hint="eastAsia" w:ascii="仿宋_GB2312" w:hAnsi="仿宋_GB2312" w:eastAsia="仿宋_GB2312" w:cs="仿宋_GB2312"/>
                <w:b/>
                <w:bCs/>
                <w:sz w:val="36"/>
                <w:szCs w:val="36"/>
                <w:lang w:val="zh-CN"/>
              </w:rPr>
              <w:t>山东</w:t>
            </w:r>
            <w:r>
              <w:rPr>
                <w:rFonts w:hint="eastAsia" w:ascii="仿宋_GB2312" w:hAnsi="仿宋_GB2312" w:eastAsia="仿宋_GB2312" w:cs="仿宋_GB2312"/>
                <w:b/>
                <w:bCs/>
                <w:sz w:val="36"/>
                <w:szCs w:val="36"/>
                <w:lang w:val="zh-CN" w:eastAsia="zh-CN"/>
              </w:rPr>
              <w:t>岱岳制盐</w:t>
            </w:r>
            <w:r>
              <w:rPr>
                <w:rFonts w:hint="eastAsia" w:ascii="仿宋_GB2312" w:hAnsi="仿宋_GB2312" w:eastAsia="仿宋_GB2312" w:cs="仿宋_GB2312"/>
                <w:b/>
                <w:bCs/>
                <w:sz w:val="36"/>
                <w:szCs w:val="36"/>
                <w:lang w:val="zh-CN"/>
              </w:rPr>
              <w:t>有限公司</w:t>
            </w:r>
          </w:p>
          <w:p>
            <w:pPr>
              <w:keepNext w:val="0"/>
              <w:keepLines w:val="0"/>
              <w:widowControl/>
              <w:suppressLineNumbers w:val="0"/>
              <w:jc w:val="center"/>
              <w:textAlignment w:val="center"/>
              <w:rPr>
                <w:rFonts w:hint="eastAsia" w:ascii="仿宋_GB2312" w:hAnsi="仿宋_GB2312" w:eastAsia="仿宋_GB2312" w:cs="仿宋_GB2312"/>
                <w:i w:val="0"/>
                <w:iCs w:val="0"/>
                <w:color w:val="000000"/>
                <w:sz w:val="36"/>
                <w:szCs w:val="36"/>
                <w:u w:val="none"/>
              </w:rPr>
            </w:pPr>
            <w:r>
              <w:rPr>
                <w:rFonts w:hint="eastAsia" w:ascii="仿宋_GB2312" w:hAnsi="仿宋_GB2312" w:eastAsia="仿宋_GB2312" w:cs="仿宋_GB2312"/>
                <w:sz w:val="30"/>
                <w:szCs w:val="30"/>
                <w:lang w:val="zh-CN" w:eastAsia="zh-CN"/>
              </w:rPr>
              <w:t>制盐车间储罐上部护栏拆除更换及钢架结构除锈刷漆施工项目</w:t>
            </w:r>
            <w:r>
              <w:rPr>
                <w:rFonts w:hint="eastAsia" w:ascii="仿宋_GB2312" w:hAnsi="仿宋_GB2312" w:eastAsia="仿宋_GB2312" w:cs="仿宋_GB2312"/>
                <w:sz w:val="30"/>
                <w:szCs w:val="30"/>
                <w:lang w:val="zh-CN"/>
              </w:rPr>
              <w:t>报价单</w:t>
            </w: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nil"/>
              <w:left w:val="nil"/>
              <w:bottom w:val="single" w:color="000000" w:sz="4" w:space="0"/>
              <w:right w:val="nil"/>
            </w:tcBorders>
            <w:shd w:val="clear" w:color="auto" w:fill="auto"/>
            <w:vAlign w:val="center"/>
          </w:tcPr>
          <w:p>
            <w:pPr>
              <w:jc w:val="center"/>
              <w:rPr>
                <w:rFonts w:hint="eastAsia" w:ascii="仿宋_GB2312" w:hAnsi="仿宋_GB2312" w:eastAsia="仿宋_GB2312" w:cs="仿宋_GB2312"/>
                <w:i w:val="0"/>
                <w:iCs w:val="0"/>
                <w:color w:val="000000"/>
                <w:sz w:val="36"/>
                <w:szCs w:val="36"/>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报价单位：</w:t>
            </w:r>
          </w:p>
        </w:tc>
        <w:tc>
          <w:tcPr>
            <w:tcW w:w="6084"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p>
        </w:tc>
        <w:tc>
          <w:tcPr>
            <w:tcW w:w="6084"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0" w:lineRule="atLeast"/>
              <w:jc w:val="center"/>
              <w:rPr>
                <w:rFonts w:hint="eastAsia" w:ascii="仿宋_GB2312" w:hAnsi="仿宋_GB2312" w:eastAsia="仿宋_GB2312" w:cs="仿宋_GB2312"/>
                <w:sz w:val="30"/>
                <w:szCs w:val="30"/>
                <w:lang w:val="zh-CN" w:eastAsia="zh-CN"/>
              </w:rPr>
            </w:pPr>
            <w:r>
              <w:rPr>
                <w:rFonts w:hint="eastAsia" w:ascii="仿宋_GB2312" w:hAnsi="仿宋_GB2312" w:eastAsia="仿宋_GB2312" w:cs="仿宋_GB2312"/>
                <w:sz w:val="30"/>
                <w:szCs w:val="30"/>
                <w:lang w:val="en-US" w:eastAsia="zh-CN"/>
              </w:rPr>
              <w:t>项目名称：</w:t>
            </w:r>
          </w:p>
        </w:tc>
        <w:tc>
          <w:tcPr>
            <w:tcW w:w="6084"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sz w:val="30"/>
                <w:szCs w:val="30"/>
                <w:lang w:val="zh-CN" w:eastAsia="zh-CN"/>
              </w:rPr>
              <w:t>制盐车间储罐上部护栏拆除更换及钢架结构除锈刷漆施工项目</w:t>
            </w:r>
          </w:p>
        </w:tc>
      </w:tr>
      <w:tr>
        <w:tblPrEx>
          <w:shd w:val="clear" w:color="auto" w:fill="auto"/>
          <w:tblCellMar>
            <w:top w:w="0" w:type="dxa"/>
            <w:left w:w="108" w:type="dxa"/>
            <w:bottom w:w="0" w:type="dxa"/>
            <w:right w:w="108" w:type="dxa"/>
          </w:tblCellMar>
        </w:tblPrEx>
        <w:trPr>
          <w:trHeight w:val="504" w:hRule="atLeast"/>
        </w:trPr>
        <w:tc>
          <w:tcPr>
            <w:tcW w:w="18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c>
          <w:tcPr>
            <w:tcW w:w="6084"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32"/>
                <w:szCs w:val="32"/>
                <w:u w:val="none"/>
              </w:rPr>
            </w:pPr>
            <w:r>
              <w:rPr>
                <w:rFonts w:hint="eastAsia" w:ascii="仿宋_GB2312" w:hAnsi="仿宋_GB2312" w:eastAsia="仿宋_GB2312" w:cs="仿宋_GB2312"/>
                <w:i w:val="0"/>
                <w:iCs w:val="0"/>
                <w:color w:val="000000"/>
                <w:kern w:val="0"/>
                <w:sz w:val="32"/>
                <w:szCs w:val="32"/>
                <w:u w:val="none"/>
                <w:lang w:val="en-US" w:eastAsia="zh-CN" w:bidi="ar"/>
              </w:rPr>
              <w:t xml:space="preserve">    </w:t>
            </w:r>
            <w:r>
              <w:rPr>
                <w:rFonts w:hint="eastAsia" w:ascii="仿宋_GB2312" w:hAnsi="仿宋_GB2312" w:eastAsia="仿宋_GB2312" w:cs="仿宋_GB2312"/>
                <w:i w:val="0"/>
                <w:iCs w:val="0"/>
                <w:color w:val="000000"/>
                <w:kern w:val="0"/>
                <w:sz w:val="30"/>
                <w:szCs w:val="30"/>
                <w:u w:val="none"/>
                <w:lang w:val="en-US" w:eastAsia="zh-CN" w:bidi="ar"/>
              </w:rPr>
              <w:t>报价内容</w:t>
            </w:r>
          </w:p>
        </w:tc>
      </w:tr>
      <w:tr>
        <w:tblPrEx>
          <w:shd w:val="clear" w:color="auto" w:fill="auto"/>
          <w:tblCellMar>
            <w:top w:w="0" w:type="dxa"/>
            <w:left w:w="108" w:type="dxa"/>
            <w:bottom w:w="0" w:type="dxa"/>
            <w:right w:w="108" w:type="dxa"/>
          </w:tblCellMar>
        </w:tblPrEx>
        <w:trPr>
          <w:trHeight w:val="504" w:hRule="atLeast"/>
        </w:trPr>
        <w:tc>
          <w:tcPr>
            <w:tcW w:w="794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32"/>
                <w:szCs w:val="32"/>
                <w:u w:val="none"/>
              </w:rPr>
            </w:pPr>
          </w:p>
        </w:tc>
      </w:tr>
      <w:tr>
        <w:tblPrEx>
          <w:shd w:val="clear" w:color="auto" w:fill="auto"/>
          <w:tblCellMar>
            <w:top w:w="0" w:type="dxa"/>
            <w:left w:w="108" w:type="dxa"/>
            <w:bottom w:w="0" w:type="dxa"/>
            <w:right w:w="108" w:type="dxa"/>
          </w:tblCellMar>
        </w:tblPrEx>
        <w:trPr>
          <w:trHeight w:val="578"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序号</w:t>
            </w:r>
          </w:p>
        </w:tc>
        <w:tc>
          <w:tcPr>
            <w:tcW w:w="1522" w:type="dxa"/>
            <w:gridSpan w:val="2"/>
            <w:tcBorders>
              <w:top w:val="single" w:color="000000" w:sz="4" w:space="0"/>
              <w:left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报价项目</w:t>
            </w:r>
          </w:p>
        </w:tc>
        <w:tc>
          <w:tcPr>
            <w:tcW w:w="1097" w:type="dxa"/>
            <w:tcBorders>
              <w:top w:val="single" w:color="000000" w:sz="4" w:space="0"/>
              <w:left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数量</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（单位）</w:t>
            </w:r>
          </w:p>
        </w:tc>
        <w:tc>
          <w:tcPr>
            <w:tcW w:w="1153"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单价</w:t>
            </w:r>
          </w:p>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（单位）</w:t>
            </w:r>
          </w:p>
        </w:tc>
        <w:tc>
          <w:tcPr>
            <w:tcW w:w="981" w:type="dxa"/>
            <w:tcBorders>
              <w:top w:val="single" w:color="000000" w:sz="4" w:space="0"/>
              <w:left w:val="single" w:color="000000"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总价（元）</w:t>
            </w:r>
          </w:p>
        </w:tc>
        <w:tc>
          <w:tcPr>
            <w:tcW w:w="2471" w:type="dxa"/>
            <w:tcBorders>
              <w:top w:val="single" w:color="auto" w:sz="4" w:space="0"/>
              <w:left w:val="single" w:color="auto"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备注</w:t>
            </w:r>
          </w:p>
        </w:tc>
      </w:tr>
      <w:tr>
        <w:tblPrEx>
          <w:shd w:val="clear" w:color="auto" w:fill="auto"/>
          <w:tblCellMar>
            <w:top w:w="0" w:type="dxa"/>
            <w:left w:w="108" w:type="dxa"/>
            <w:bottom w:w="0" w:type="dxa"/>
            <w:right w:w="108" w:type="dxa"/>
          </w:tblCellMar>
        </w:tblPrEx>
        <w:trPr>
          <w:trHeight w:val="68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1522" w:type="dxa"/>
            <w:gridSpan w:val="2"/>
            <w:tcBorders>
              <w:top w:val="single" w:color="000000" w:sz="4" w:space="0"/>
              <w:left w:val="single" w:color="000000" w:sz="4" w:space="0"/>
              <w:bottom w:val="nil"/>
              <w:right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通道护栏拆除更换</w:t>
            </w:r>
          </w:p>
        </w:tc>
        <w:tc>
          <w:tcPr>
            <w:tcW w:w="109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750m</w:t>
            </w:r>
          </w:p>
        </w:tc>
        <w:tc>
          <w:tcPr>
            <w:tcW w:w="1153"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981"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2471" w:type="dxa"/>
            <w:tcBorders>
              <w:top w:val="single" w:color="000000" w:sz="4" w:space="0"/>
              <w:left w:val="single" w:color="auto" w:sz="4" w:space="0"/>
              <w:bottom w:val="nil"/>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为两侧护栏总长，含护栏、灯管、穿线管的拆除及更换。</w:t>
            </w:r>
          </w:p>
        </w:tc>
      </w:tr>
      <w:tr>
        <w:tblPrEx>
          <w:shd w:val="clear" w:color="auto" w:fill="auto"/>
          <w:tblCellMar>
            <w:top w:w="0" w:type="dxa"/>
            <w:left w:w="108" w:type="dxa"/>
            <w:bottom w:w="0" w:type="dxa"/>
            <w:right w:w="108" w:type="dxa"/>
          </w:tblCellMar>
        </w:tblPrEx>
        <w:trPr>
          <w:trHeight w:val="68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1522" w:type="dxa"/>
            <w:gridSpan w:val="2"/>
            <w:tcBorders>
              <w:top w:val="single" w:color="000000" w:sz="4" w:space="0"/>
              <w:left w:val="single" w:color="000000" w:sz="4" w:space="0"/>
              <w:bottom w:val="nil"/>
              <w:right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钢架结构除锈刷漆</w:t>
            </w:r>
          </w:p>
        </w:tc>
        <w:tc>
          <w:tcPr>
            <w:tcW w:w="109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3500m²</w:t>
            </w:r>
          </w:p>
        </w:tc>
        <w:tc>
          <w:tcPr>
            <w:tcW w:w="1153"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981"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2471" w:type="dxa"/>
            <w:tcBorders>
              <w:top w:val="single" w:color="000000" w:sz="4" w:space="0"/>
              <w:left w:val="single" w:color="auto" w:sz="4" w:space="0"/>
              <w:bottom w:val="nil"/>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含所有通道钢架支撑、原卤桶上部张拉膜支架等部件的除锈刷漆</w:t>
            </w:r>
          </w:p>
        </w:tc>
      </w:tr>
      <w:tr>
        <w:tblPrEx>
          <w:shd w:val="clear" w:color="auto" w:fill="auto"/>
          <w:tblCellMar>
            <w:top w:w="0" w:type="dxa"/>
            <w:left w:w="108" w:type="dxa"/>
            <w:bottom w:w="0" w:type="dxa"/>
            <w:right w:w="108" w:type="dxa"/>
          </w:tblCellMar>
        </w:tblPrEx>
        <w:trPr>
          <w:trHeight w:val="68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1522" w:type="dxa"/>
            <w:gridSpan w:val="2"/>
            <w:tcBorders>
              <w:top w:val="single" w:color="000000" w:sz="4" w:space="0"/>
              <w:left w:val="single" w:color="000000" w:sz="4" w:space="0"/>
              <w:bottom w:val="nil"/>
              <w:right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通道护栏、灯管、穿线管刷漆</w:t>
            </w:r>
          </w:p>
        </w:tc>
        <w:tc>
          <w:tcPr>
            <w:tcW w:w="109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1600m²</w:t>
            </w:r>
          </w:p>
        </w:tc>
        <w:tc>
          <w:tcPr>
            <w:tcW w:w="1153"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981"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2471" w:type="dxa"/>
            <w:tcBorders>
              <w:top w:val="single" w:color="000000" w:sz="4" w:space="0"/>
              <w:left w:val="single" w:color="auto" w:sz="4" w:space="0"/>
              <w:bottom w:val="nil"/>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含护栏、灯管、穿线管等新装部件的刷漆</w:t>
            </w:r>
          </w:p>
        </w:tc>
      </w:tr>
      <w:tr>
        <w:tblPrEx>
          <w:shd w:val="clear" w:color="auto" w:fill="auto"/>
          <w:tblCellMar>
            <w:top w:w="0" w:type="dxa"/>
            <w:left w:w="108" w:type="dxa"/>
            <w:bottom w:w="0" w:type="dxa"/>
            <w:right w:w="108" w:type="dxa"/>
          </w:tblCellMar>
        </w:tblPrEx>
        <w:trPr>
          <w:trHeight w:val="68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1522" w:type="dxa"/>
            <w:gridSpan w:val="2"/>
            <w:tcBorders>
              <w:top w:val="single" w:color="000000" w:sz="4" w:space="0"/>
              <w:left w:val="single" w:color="000000" w:sz="4" w:space="0"/>
              <w:bottom w:val="nil"/>
              <w:right w:val="nil"/>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搅拌设备除锈刷漆</w:t>
            </w:r>
          </w:p>
        </w:tc>
        <w:tc>
          <w:tcPr>
            <w:tcW w:w="1097"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11台套</w:t>
            </w:r>
          </w:p>
        </w:tc>
        <w:tc>
          <w:tcPr>
            <w:tcW w:w="1153"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981" w:type="dxa"/>
            <w:tcBorders>
              <w:top w:val="single" w:color="auto" w:sz="4" w:space="0"/>
              <w:left w:val="single" w:color="000000" w:sz="4" w:space="0"/>
              <w:bottom w:val="single" w:color="000000" w:sz="4" w:space="0"/>
              <w:right w:val="single" w:color="auto" w:sz="4" w:space="0"/>
            </w:tcBorders>
            <w:shd w:val="clear" w:color="auto" w:fill="auto"/>
            <w:noWrap/>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p>
        </w:tc>
        <w:tc>
          <w:tcPr>
            <w:tcW w:w="2471" w:type="dxa"/>
            <w:tcBorders>
              <w:top w:val="single" w:color="000000" w:sz="4" w:space="0"/>
              <w:left w:val="single" w:color="auto" w:sz="4" w:space="0"/>
              <w:bottom w:val="nil"/>
              <w:right w:val="single" w:color="auto" w:sz="4" w:space="0"/>
            </w:tcBorders>
            <w:shd w:val="clear" w:color="auto" w:fill="auto"/>
            <w:vAlign w:val="center"/>
          </w:tcPr>
          <w:p>
            <w:pPr>
              <w:widowControl/>
              <w:jc w:val="center"/>
              <w:textAlignment w:val="center"/>
              <w:rPr>
                <w:rFonts w:hint="eastAsia" w:ascii="仿宋_GB2312" w:hAnsi="仿宋_GB2312" w:eastAsia="仿宋_GB2312" w:cs="仿宋_GB2312"/>
                <w:color w:val="000000"/>
                <w:kern w:val="0"/>
                <w:sz w:val="24"/>
                <w:szCs w:val="24"/>
                <w:u w:val="none"/>
                <w:vertAlign w:val="baseline"/>
                <w:lang w:val="en-US" w:eastAsia="zh-CN" w:bidi="ar"/>
              </w:rPr>
            </w:pPr>
            <w:r>
              <w:rPr>
                <w:rFonts w:hint="eastAsia" w:ascii="仿宋_GB2312" w:hAnsi="仿宋_GB2312" w:eastAsia="仿宋_GB2312" w:cs="仿宋_GB2312"/>
                <w:color w:val="000000"/>
                <w:kern w:val="0"/>
                <w:sz w:val="24"/>
                <w:szCs w:val="24"/>
                <w:u w:val="none"/>
                <w:vertAlign w:val="baseline"/>
                <w:lang w:val="en-US" w:eastAsia="zh-CN" w:bidi="ar"/>
              </w:rPr>
              <w:t>含电机、搅拌机及设备支撑架的除锈刷漆</w:t>
            </w:r>
          </w:p>
        </w:tc>
      </w:tr>
      <w:tr>
        <w:tblPrEx>
          <w:shd w:val="clear" w:color="auto" w:fill="auto"/>
          <w:tblCellMar>
            <w:top w:w="0" w:type="dxa"/>
            <w:left w:w="108" w:type="dxa"/>
            <w:bottom w:w="0" w:type="dxa"/>
            <w:right w:w="108" w:type="dxa"/>
          </w:tblCellMar>
        </w:tblPrEx>
        <w:trPr>
          <w:trHeight w:val="621"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p>
        </w:tc>
        <w:tc>
          <w:tcPr>
            <w:tcW w:w="7224" w:type="dxa"/>
            <w:gridSpan w:val="6"/>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 xml:space="preserve">         费用总计（元）：</w:t>
            </w:r>
          </w:p>
        </w:tc>
      </w:tr>
    </w:tbl>
    <w:p>
      <w:pPr>
        <w:pStyle w:val="2"/>
        <w:ind w:firstLine="0" w:firstLineChars="0"/>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rPr>
          <w:rFonts w:hint="eastAsia" w:ascii="仿宋_GB2312" w:hAnsi="Times New Roman" w:eastAsia="仿宋_GB2312" w:cs="Times New Roman"/>
          <w:spacing w:val="-17"/>
          <w:sz w:val="32"/>
          <w:szCs w:val="32"/>
        </w:rPr>
      </w:pPr>
    </w:p>
    <w:p>
      <w:pPr>
        <w:pStyle w:val="2"/>
        <w:ind w:left="0" w:leftChars="0" w:firstLine="0" w:firstLineChars="0"/>
        <w:rPr>
          <w:rFonts w:hint="eastAsia" w:ascii="仿宋_GB2312" w:hAnsi="Times New Roman" w:eastAsia="仿宋_GB2312" w:cs="Times New Roman"/>
          <w:spacing w:val="-17"/>
          <w:sz w:val="32"/>
          <w:szCs w:val="32"/>
          <w:lang w:val="en-US" w:eastAsia="zh-CN"/>
        </w:rPr>
      </w:pPr>
    </w:p>
    <w:p>
      <w:pPr>
        <w:pStyle w:val="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2"/>
        <w:ind w:left="0" w:leftChars="0" w:firstLine="0" w:firstLineChars="0"/>
        <w:rPr>
          <w:rFonts w:hint="eastAsia" w:ascii="仿宋_GB2312" w:hAnsi="Times New Roman" w:eastAsia="仿宋_GB2312" w:cs="Times New Roman"/>
          <w:spacing w:val="-17"/>
          <w:sz w:val="28"/>
          <w:szCs w:val="28"/>
          <w:lang w:val="en-US" w:eastAsia="zh-CN"/>
        </w:rPr>
      </w:pPr>
    </w:p>
    <w:p>
      <w:pPr>
        <w:pStyle w:val="2"/>
        <w:ind w:left="0" w:leftChars="0" w:firstLine="0" w:firstLineChars="0"/>
        <w:rPr>
          <w:rFonts w:hint="eastAsia" w:ascii="仿宋_GB2312" w:hAnsi="Times New Roman" w:eastAsia="仿宋_GB2312" w:cs="Times New Roman"/>
          <w:spacing w:val="-17"/>
          <w:sz w:val="28"/>
          <w:szCs w:val="28"/>
          <w:lang w:val="en-US" w:eastAsia="zh-CN"/>
        </w:rPr>
      </w:pPr>
      <w:r>
        <w:rPr>
          <w:rFonts w:hint="eastAsia" w:ascii="仿宋_GB2312" w:hAnsi="Times New Roman" w:eastAsia="仿宋_GB2312" w:cs="Times New Roman"/>
          <w:spacing w:val="-17"/>
          <w:sz w:val="28"/>
          <w:szCs w:val="28"/>
          <w:lang w:val="en-US" w:eastAsia="zh-CN"/>
        </w:rPr>
        <w:t>备注：以上报价包含施工所需的所有材料、人工及吊车、扎架子等辅助施工设备。</w:t>
      </w:r>
    </w:p>
    <w:p>
      <w:pPr>
        <w:pStyle w:val="2"/>
        <w:ind w:left="0" w:leftChars="0" w:firstLine="3718" w:firstLineChars="130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施工单位（公章）：</w:t>
      </w:r>
    </w:p>
    <w:p>
      <w:pPr>
        <w:pStyle w:val="2"/>
        <w:ind w:left="0" w:leftChars="0" w:firstLine="0" w:firstLineChars="0"/>
        <w:rPr>
          <w:rFonts w:hint="eastAsia"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w:t>
      </w:r>
    </w:p>
    <w:p>
      <w:pPr>
        <w:pStyle w:val="2"/>
        <w:ind w:left="0" w:leftChars="0" w:firstLine="6006" w:firstLineChars="2100"/>
        <w:rPr>
          <w:rFonts w:hint="default" w:ascii="仿宋_GB2312" w:hAnsi="Times New Roman" w:eastAsia="仿宋_GB2312" w:cs="Times New Roman"/>
          <w:spacing w:val="-17"/>
          <w:sz w:val="32"/>
          <w:szCs w:val="32"/>
          <w:lang w:val="en-US" w:eastAsia="zh-CN"/>
        </w:rPr>
      </w:pPr>
      <w:r>
        <w:rPr>
          <w:rFonts w:hint="eastAsia" w:ascii="仿宋_GB2312" w:hAnsi="Times New Roman" w:eastAsia="仿宋_GB2312" w:cs="Times New Roman"/>
          <w:spacing w:val="-17"/>
          <w:sz w:val="32"/>
          <w:szCs w:val="32"/>
          <w:lang w:val="en-US" w:eastAsia="zh-CN"/>
        </w:rPr>
        <w:t xml:space="preserve"> 年   月   日</w:t>
      </w:r>
    </w:p>
    <w:sectPr>
      <w:footerReference r:id="rId3" w:type="default"/>
      <w:pgSz w:w="11906" w:h="16838"/>
      <w:pgMar w:top="1418" w:right="1588" w:bottom="1418" w:left="1588"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968223"/>
    </w:sdtPr>
    <w:sdtEndPr>
      <w:rPr>
        <w:rFonts w:asciiTheme="minorEastAsia" w:hAnsiTheme="minorEastAsia" w:eastAsiaTheme="minorEastAsia"/>
        <w:sz w:val="28"/>
        <w:szCs w:val="28"/>
      </w:rPr>
    </w:sdtEndPr>
    <w:sdtContent>
      <w:p>
        <w:pPr>
          <w:pStyle w:val="6"/>
          <w:jc w:val="cente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- 1 -</w:t>
        </w:r>
        <w:r>
          <w:rPr>
            <w:rFonts w:asciiTheme="minorEastAsia" w:hAnsiTheme="minorEastAsia" w:eastAsiaTheme="minorEastAsia"/>
            <w:sz w:val="28"/>
            <w:szCs w:val="28"/>
          </w:rPr>
          <w:fldChar w:fldCharType="end"/>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ZjYjYxNzIwZWYwMTExNzc0OTgwMzc5MTI0MWRhZTcifQ=="/>
  </w:docVars>
  <w:rsids>
    <w:rsidRoot w:val="00172A27"/>
    <w:rsid w:val="0001314A"/>
    <w:rsid w:val="000149AB"/>
    <w:rsid w:val="000263F8"/>
    <w:rsid w:val="000A6233"/>
    <w:rsid w:val="001137D5"/>
    <w:rsid w:val="00130E23"/>
    <w:rsid w:val="00143B7D"/>
    <w:rsid w:val="0015385D"/>
    <w:rsid w:val="0017255E"/>
    <w:rsid w:val="00186E63"/>
    <w:rsid w:val="001B29C7"/>
    <w:rsid w:val="001B7AAA"/>
    <w:rsid w:val="001D05DD"/>
    <w:rsid w:val="001D1D0D"/>
    <w:rsid w:val="001F73AD"/>
    <w:rsid w:val="00224430"/>
    <w:rsid w:val="002A60C4"/>
    <w:rsid w:val="0031053B"/>
    <w:rsid w:val="0031183A"/>
    <w:rsid w:val="00365574"/>
    <w:rsid w:val="0037287E"/>
    <w:rsid w:val="00383603"/>
    <w:rsid w:val="00392A16"/>
    <w:rsid w:val="003C17D2"/>
    <w:rsid w:val="00431720"/>
    <w:rsid w:val="0048045A"/>
    <w:rsid w:val="00482143"/>
    <w:rsid w:val="00511AD1"/>
    <w:rsid w:val="00523242"/>
    <w:rsid w:val="00562AE5"/>
    <w:rsid w:val="005B59AB"/>
    <w:rsid w:val="005D05AF"/>
    <w:rsid w:val="00615380"/>
    <w:rsid w:val="00633D00"/>
    <w:rsid w:val="0064165D"/>
    <w:rsid w:val="00645913"/>
    <w:rsid w:val="0064635A"/>
    <w:rsid w:val="00663837"/>
    <w:rsid w:val="006645B4"/>
    <w:rsid w:val="00696E20"/>
    <w:rsid w:val="006B658D"/>
    <w:rsid w:val="006C3C42"/>
    <w:rsid w:val="006D1C94"/>
    <w:rsid w:val="006D54D3"/>
    <w:rsid w:val="00702562"/>
    <w:rsid w:val="007050AC"/>
    <w:rsid w:val="00707552"/>
    <w:rsid w:val="00707B46"/>
    <w:rsid w:val="00712B61"/>
    <w:rsid w:val="00724FAF"/>
    <w:rsid w:val="007345CA"/>
    <w:rsid w:val="007530C7"/>
    <w:rsid w:val="007717FD"/>
    <w:rsid w:val="00774AA8"/>
    <w:rsid w:val="007D254D"/>
    <w:rsid w:val="007D5541"/>
    <w:rsid w:val="007D66EB"/>
    <w:rsid w:val="007F1FA5"/>
    <w:rsid w:val="008665CB"/>
    <w:rsid w:val="00882681"/>
    <w:rsid w:val="008A394D"/>
    <w:rsid w:val="008E1B69"/>
    <w:rsid w:val="008E1D95"/>
    <w:rsid w:val="00927EF2"/>
    <w:rsid w:val="00941DC3"/>
    <w:rsid w:val="0094594F"/>
    <w:rsid w:val="00967DB3"/>
    <w:rsid w:val="00991830"/>
    <w:rsid w:val="009B2BFE"/>
    <w:rsid w:val="009C0AEE"/>
    <w:rsid w:val="00A1192A"/>
    <w:rsid w:val="00A314E2"/>
    <w:rsid w:val="00A821A7"/>
    <w:rsid w:val="00A8614E"/>
    <w:rsid w:val="00AC1DE0"/>
    <w:rsid w:val="00B205A2"/>
    <w:rsid w:val="00B31EF5"/>
    <w:rsid w:val="00B33D49"/>
    <w:rsid w:val="00B34312"/>
    <w:rsid w:val="00B73734"/>
    <w:rsid w:val="00B95D74"/>
    <w:rsid w:val="00BA680E"/>
    <w:rsid w:val="00BD5397"/>
    <w:rsid w:val="00BF3E3B"/>
    <w:rsid w:val="00C070D6"/>
    <w:rsid w:val="00C13AC9"/>
    <w:rsid w:val="00C232C6"/>
    <w:rsid w:val="00C351FF"/>
    <w:rsid w:val="00C61F6F"/>
    <w:rsid w:val="00C758C9"/>
    <w:rsid w:val="00C97CB9"/>
    <w:rsid w:val="00CF7828"/>
    <w:rsid w:val="00D677CD"/>
    <w:rsid w:val="00D83219"/>
    <w:rsid w:val="00D91C5A"/>
    <w:rsid w:val="00DA4613"/>
    <w:rsid w:val="00DC1DD6"/>
    <w:rsid w:val="00DC5DA5"/>
    <w:rsid w:val="00DD0516"/>
    <w:rsid w:val="00DD673B"/>
    <w:rsid w:val="00E0423E"/>
    <w:rsid w:val="00E301CB"/>
    <w:rsid w:val="00E31898"/>
    <w:rsid w:val="00E37F37"/>
    <w:rsid w:val="00E45453"/>
    <w:rsid w:val="00E613EB"/>
    <w:rsid w:val="00EA2274"/>
    <w:rsid w:val="00EB4F35"/>
    <w:rsid w:val="00EB6236"/>
    <w:rsid w:val="00ED7734"/>
    <w:rsid w:val="00F64B2B"/>
    <w:rsid w:val="00F83D6E"/>
    <w:rsid w:val="00FD1F91"/>
    <w:rsid w:val="03D1726D"/>
    <w:rsid w:val="057D4BE3"/>
    <w:rsid w:val="06FE07E7"/>
    <w:rsid w:val="0BCA048F"/>
    <w:rsid w:val="0CB74F37"/>
    <w:rsid w:val="0DF62CF6"/>
    <w:rsid w:val="0F175A76"/>
    <w:rsid w:val="138B0CB1"/>
    <w:rsid w:val="154342FD"/>
    <w:rsid w:val="197514A0"/>
    <w:rsid w:val="1AED6CFE"/>
    <w:rsid w:val="1C764F2D"/>
    <w:rsid w:val="1E623FD6"/>
    <w:rsid w:val="1E6325EF"/>
    <w:rsid w:val="1E7C727F"/>
    <w:rsid w:val="1EA679AB"/>
    <w:rsid w:val="240E3DAA"/>
    <w:rsid w:val="24860255"/>
    <w:rsid w:val="24990161"/>
    <w:rsid w:val="258779D8"/>
    <w:rsid w:val="28D27B04"/>
    <w:rsid w:val="29C4587E"/>
    <w:rsid w:val="2A9D68A5"/>
    <w:rsid w:val="2B9C4B6B"/>
    <w:rsid w:val="2CC048AF"/>
    <w:rsid w:val="2FE92250"/>
    <w:rsid w:val="2FEC2F3D"/>
    <w:rsid w:val="30562FA1"/>
    <w:rsid w:val="352944D8"/>
    <w:rsid w:val="355410AE"/>
    <w:rsid w:val="37240058"/>
    <w:rsid w:val="3E3C1261"/>
    <w:rsid w:val="409E00B6"/>
    <w:rsid w:val="41773A03"/>
    <w:rsid w:val="42C910A8"/>
    <w:rsid w:val="44656DC0"/>
    <w:rsid w:val="446C3951"/>
    <w:rsid w:val="45447725"/>
    <w:rsid w:val="46752F72"/>
    <w:rsid w:val="4C3B097F"/>
    <w:rsid w:val="4C6B08E0"/>
    <w:rsid w:val="4DCD37F8"/>
    <w:rsid w:val="50FC6B65"/>
    <w:rsid w:val="51A1586A"/>
    <w:rsid w:val="51DE5EF9"/>
    <w:rsid w:val="51F83B7E"/>
    <w:rsid w:val="52472DAA"/>
    <w:rsid w:val="531813D7"/>
    <w:rsid w:val="57A75C56"/>
    <w:rsid w:val="5915699E"/>
    <w:rsid w:val="59751278"/>
    <w:rsid w:val="5A5437EC"/>
    <w:rsid w:val="5B4D3343"/>
    <w:rsid w:val="5D317D47"/>
    <w:rsid w:val="5D952D78"/>
    <w:rsid w:val="628338D5"/>
    <w:rsid w:val="64176ECE"/>
    <w:rsid w:val="66D46CA4"/>
    <w:rsid w:val="674D777B"/>
    <w:rsid w:val="6A585F3B"/>
    <w:rsid w:val="6C6C6CE1"/>
    <w:rsid w:val="6EB810B6"/>
    <w:rsid w:val="70447B2F"/>
    <w:rsid w:val="71C477E1"/>
    <w:rsid w:val="73D62658"/>
    <w:rsid w:val="761B566E"/>
    <w:rsid w:val="76F31295"/>
    <w:rsid w:val="780F0260"/>
    <w:rsid w:val="7C3E5C19"/>
    <w:rsid w:val="7D082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List Paragraph"/>
    <w:basedOn w:val="1"/>
    <w:qFormat/>
    <w:uiPriority w:val="34"/>
    <w:pPr>
      <w:ind w:firstLine="420" w:firstLineChars="200"/>
    </w:pPr>
  </w:style>
  <w:style w:type="paragraph" w:styleId="4">
    <w:name w:val="Date"/>
    <w:basedOn w:val="1"/>
    <w:next w:val="1"/>
    <w:link w:val="15"/>
    <w:semiHidden/>
    <w:unhideWhenUsed/>
    <w:qFormat/>
    <w:uiPriority w:val="99"/>
    <w:pPr>
      <w:ind w:left="100" w:leftChars="2500"/>
    </w:pPr>
  </w:style>
  <w:style w:type="paragraph" w:styleId="5">
    <w:name w:val="Balloon Text"/>
    <w:basedOn w:val="1"/>
    <w:link w:val="16"/>
    <w:semiHidden/>
    <w:unhideWhenUsed/>
    <w:qFormat/>
    <w:uiPriority w:val="99"/>
    <w:rPr>
      <w:sz w:val="18"/>
      <w:szCs w:val="18"/>
    </w:rPr>
  </w:style>
  <w:style w:type="paragraph" w:styleId="6">
    <w:name w:val="footer"/>
    <w:basedOn w:val="1"/>
    <w:link w:val="13"/>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page number"/>
    <w:basedOn w:val="10"/>
    <w:qFormat/>
    <w:uiPriority w:val="99"/>
  </w:style>
  <w:style w:type="character" w:styleId="12">
    <w:name w:val="Hyperlink"/>
    <w:basedOn w:val="10"/>
    <w:unhideWhenUsed/>
    <w:qFormat/>
    <w:uiPriority w:val="99"/>
    <w:rPr>
      <w:color w:val="0000FF" w:themeColor="hyperlink"/>
      <w:u w:val="single"/>
    </w:rPr>
  </w:style>
  <w:style w:type="character" w:customStyle="1" w:styleId="13">
    <w:name w:val="页脚 Char"/>
    <w:basedOn w:val="10"/>
    <w:link w:val="6"/>
    <w:qFormat/>
    <w:uiPriority w:val="99"/>
    <w:rPr>
      <w:rFonts w:ascii="Times New Roman" w:hAnsi="Times New Roman" w:eastAsia="宋体" w:cs="Times New Roman"/>
      <w:sz w:val="18"/>
      <w:szCs w:val="18"/>
    </w:rPr>
  </w:style>
  <w:style w:type="character" w:customStyle="1" w:styleId="14">
    <w:name w:val="页眉 Char"/>
    <w:basedOn w:val="10"/>
    <w:link w:val="7"/>
    <w:qFormat/>
    <w:uiPriority w:val="99"/>
    <w:rPr>
      <w:sz w:val="18"/>
      <w:szCs w:val="18"/>
    </w:rPr>
  </w:style>
  <w:style w:type="character" w:customStyle="1" w:styleId="15">
    <w:name w:val="日期 Char"/>
    <w:basedOn w:val="10"/>
    <w:link w:val="4"/>
    <w:semiHidden/>
    <w:qFormat/>
    <w:uiPriority w:val="99"/>
  </w:style>
  <w:style w:type="character" w:customStyle="1" w:styleId="16">
    <w:name w:val="批注框文本 Char"/>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A884A7-86FB-4924-B6FF-3DA89EDC875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22</Pages>
  <Words>8549</Words>
  <Characters>8981</Characters>
  <Lines>48</Lines>
  <Paragraphs>13</Paragraphs>
  <TotalTime>0</TotalTime>
  <ScaleCrop>false</ScaleCrop>
  <LinksUpToDate>false</LinksUpToDate>
  <CharactersWithSpaces>9138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2021-01-22T23:26:00Z</dcterms:created>
  <dc:creator>Windows</dc:creator>
  <cp:lastModifiedBy>张毅</cp:lastModifiedBy>
  <cp:lastPrinted>2021-05-25T09:17:00Z</cp:lastPrinted>
  <dcterms:modified xsi:type="dcterms:W3CDTF">2023-08-15T03:35:48Z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E610EBC703F04CBE82132C8859959214</vt:lpwstr>
  </property>
</Properties>
</file>